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E" w:rsidRPr="00B64054" w:rsidRDefault="00B64054" w:rsidP="00B524DE">
      <w:pPr>
        <w:pStyle w:val="Listaszerbekezds"/>
        <w:pageBreakBefore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bookmarkStart w:id="0" w:name="_Toc533254724"/>
      <w:bookmarkStart w:id="1" w:name="_Toc125091878"/>
      <w:bookmarkStart w:id="2" w:name="_Toc167169934"/>
      <w:bookmarkStart w:id="3" w:name="_Toc168716271"/>
      <w:bookmarkStart w:id="4" w:name="_Toc170041568"/>
      <w:bookmarkStart w:id="5" w:name="_Toc170041635"/>
      <w:bookmarkStart w:id="6" w:name="_Toc177534022"/>
      <w:bookmarkStart w:id="7" w:name="_Toc177534146"/>
      <w:bookmarkStart w:id="8" w:name="_Toc185669748"/>
      <w:bookmarkStart w:id="9" w:name="_Toc185669821"/>
      <w:bookmarkStart w:id="10" w:name="_Toc216603772"/>
      <w:bookmarkStart w:id="11" w:name="_Toc266702314"/>
      <w:bookmarkStart w:id="12" w:name="_Toc481057213"/>
      <w:r w:rsidRPr="00B64054">
        <w:rPr>
          <w:rFonts w:cs="Arial"/>
          <w:b/>
          <w:sz w:val="22"/>
          <w:szCs w:val="22"/>
        </w:rPr>
        <w:t>Sülysáp</w:t>
      </w:r>
      <w:r w:rsidR="00B524DE" w:rsidRPr="00B64054">
        <w:rPr>
          <w:rFonts w:cs="Arial"/>
          <w:b/>
          <w:sz w:val="22"/>
          <w:szCs w:val="22"/>
        </w:rPr>
        <w:t xml:space="preserve"> </w:t>
      </w:r>
      <w:r w:rsidRPr="00B64054">
        <w:rPr>
          <w:rFonts w:cs="Arial"/>
          <w:b/>
          <w:sz w:val="22"/>
          <w:szCs w:val="22"/>
        </w:rPr>
        <w:t>Város</w:t>
      </w:r>
      <w:r w:rsidR="00B524DE" w:rsidRPr="00B64054">
        <w:rPr>
          <w:rFonts w:cs="Arial"/>
          <w:b/>
          <w:sz w:val="22"/>
          <w:szCs w:val="22"/>
        </w:rPr>
        <w:t xml:space="preserve"> Önkormányzat Képviselő Testületének</w:t>
      </w:r>
    </w:p>
    <w:p w:rsidR="00B524DE" w:rsidRPr="00B64054" w:rsidRDefault="00B524DE" w:rsidP="00B524DE">
      <w:pPr>
        <w:pStyle w:val="Listaszerbekezds"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r w:rsidRPr="00B64054">
        <w:rPr>
          <w:rFonts w:cs="Arial"/>
          <w:b/>
          <w:sz w:val="22"/>
          <w:szCs w:val="22"/>
        </w:rPr>
        <w:t>…</w:t>
      </w:r>
      <w:proofErr w:type="gramStart"/>
      <w:r w:rsidRPr="00B64054">
        <w:rPr>
          <w:rFonts w:cs="Arial"/>
          <w:b/>
          <w:sz w:val="22"/>
          <w:szCs w:val="22"/>
        </w:rPr>
        <w:t>….</w:t>
      </w:r>
      <w:proofErr w:type="gramEnd"/>
      <w:r w:rsidRPr="00B64054">
        <w:rPr>
          <w:rFonts w:cs="Arial"/>
          <w:b/>
          <w:sz w:val="22"/>
          <w:szCs w:val="22"/>
        </w:rPr>
        <w:t>/2018. (……….) számú határozata</w:t>
      </w:r>
    </w:p>
    <w:p w:rsidR="00B524DE" w:rsidRPr="00B64054" w:rsidRDefault="00B64054" w:rsidP="00B524DE">
      <w:pPr>
        <w:pStyle w:val="Listaszerbekezds"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r w:rsidRPr="00B64054">
        <w:rPr>
          <w:rFonts w:cs="Arial"/>
          <w:b/>
          <w:sz w:val="22"/>
          <w:szCs w:val="22"/>
        </w:rPr>
        <w:t>Sülysáp</w:t>
      </w:r>
      <w:r w:rsidR="00B524DE" w:rsidRPr="00B64054">
        <w:rPr>
          <w:rFonts w:cs="Arial"/>
          <w:b/>
          <w:sz w:val="22"/>
          <w:szCs w:val="22"/>
        </w:rPr>
        <w:t xml:space="preserve"> </w:t>
      </w:r>
      <w:r w:rsidRPr="00B64054">
        <w:rPr>
          <w:rFonts w:cs="Arial"/>
          <w:b/>
          <w:sz w:val="22"/>
          <w:szCs w:val="22"/>
        </w:rPr>
        <w:t>Város</w:t>
      </w:r>
      <w:r w:rsidR="00B524DE" w:rsidRPr="00B64054">
        <w:rPr>
          <w:rFonts w:cs="Arial"/>
          <w:b/>
          <w:sz w:val="22"/>
          <w:szCs w:val="22"/>
        </w:rPr>
        <w:t xml:space="preserve"> Településszerkezeti Tervének jóváhagyásáról szóló</w:t>
      </w:r>
    </w:p>
    <w:p w:rsidR="00B524DE" w:rsidRPr="00B64054" w:rsidRDefault="00B64054" w:rsidP="00B524DE">
      <w:pPr>
        <w:pStyle w:val="Listaszerbekezds"/>
        <w:shd w:val="clear" w:color="auto" w:fill="C6D9F1"/>
        <w:ind w:left="425"/>
        <w:jc w:val="center"/>
        <w:rPr>
          <w:rFonts w:cs="Arial"/>
          <w:b/>
          <w:sz w:val="22"/>
          <w:szCs w:val="22"/>
        </w:rPr>
      </w:pPr>
      <w:r w:rsidRPr="00B64054">
        <w:rPr>
          <w:b/>
          <w:sz w:val="22"/>
          <w:szCs w:val="22"/>
        </w:rPr>
        <w:t>164/2017. (X.26.)</w:t>
      </w:r>
      <w:r w:rsidR="00B524DE" w:rsidRPr="00B64054">
        <w:rPr>
          <w:rFonts w:cs="Arial"/>
          <w:b/>
          <w:sz w:val="22"/>
          <w:szCs w:val="22"/>
        </w:rPr>
        <w:t xml:space="preserve"> sz. Kt. számú Képviselőtestületi határozat módosításáról</w:t>
      </w:r>
    </w:p>
    <w:p w:rsidR="00B524DE" w:rsidRPr="00B64054" w:rsidRDefault="00B524DE" w:rsidP="00B524DE">
      <w:pPr>
        <w:pStyle w:val="Listaszerbekezds"/>
        <w:autoSpaceDE w:val="0"/>
        <w:autoSpaceDN w:val="0"/>
        <w:adjustRightInd w:val="0"/>
        <w:ind w:left="425"/>
        <w:jc w:val="center"/>
        <w:rPr>
          <w:rFonts w:cs="Arial"/>
          <w:color w:val="FF0000"/>
        </w:rPr>
      </w:pPr>
      <w:r w:rsidRPr="00B64054">
        <w:rPr>
          <w:rFonts w:cs="Arial"/>
          <w:color w:val="FF0000"/>
        </w:rPr>
        <w:t>TERVEZET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 xml:space="preserve">KIVONAT </w:t>
      </w:r>
    </w:p>
    <w:p w:rsidR="00B524DE" w:rsidRPr="00B64054" w:rsidRDefault="00B524DE" w:rsidP="00B524DE">
      <w:pPr>
        <w:pStyle w:val="Listaszerbekezds"/>
        <w:tabs>
          <w:tab w:val="clear" w:pos="425"/>
          <w:tab w:val="clear" w:pos="8222"/>
          <w:tab w:val="left" w:pos="0"/>
          <w:tab w:val="left" w:pos="9072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Készült:</w:t>
      </w:r>
      <w:r w:rsidRPr="00B64054">
        <w:rPr>
          <w:sz w:val="22"/>
          <w:szCs w:val="22"/>
        </w:rPr>
        <w:tab/>
      </w:r>
      <w:r w:rsidR="00B64054" w:rsidRPr="00B64054">
        <w:rPr>
          <w:sz w:val="22"/>
          <w:szCs w:val="22"/>
        </w:rPr>
        <w:t>Sülysáp</w:t>
      </w:r>
      <w:r w:rsidRPr="00B64054">
        <w:rPr>
          <w:rFonts w:cs="Arial"/>
          <w:b/>
          <w:sz w:val="22"/>
          <w:szCs w:val="22"/>
        </w:rPr>
        <w:t xml:space="preserve"> </w:t>
      </w:r>
      <w:r w:rsidR="00B64054" w:rsidRPr="00B64054">
        <w:rPr>
          <w:rFonts w:cs="Arial"/>
          <w:sz w:val="22"/>
          <w:szCs w:val="22"/>
        </w:rPr>
        <w:t>Város</w:t>
      </w:r>
      <w:r w:rsidRPr="00B64054">
        <w:rPr>
          <w:sz w:val="22"/>
          <w:szCs w:val="22"/>
        </w:rPr>
        <w:t xml:space="preserve"> Önkormányzat Képviselő-testületének …………………………-én</w:t>
      </w:r>
    </w:p>
    <w:p w:rsidR="00B524DE" w:rsidRPr="00B64054" w:rsidRDefault="00B524DE" w:rsidP="00B524DE">
      <w:pPr>
        <w:pStyle w:val="Listaszerbekezds"/>
        <w:tabs>
          <w:tab w:val="clear" w:pos="425"/>
          <w:tab w:val="clear" w:pos="8222"/>
          <w:tab w:val="left" w:pos="0"/>
          <w:tab w:val="right" w:leader="dot" w:pos="9072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(……..) ……. órakor kezdődött üléséről.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</w:p>
    <w:p w:rsidR="00B524DE" w:rsidRPr="00B64054" w:rsidRDefault="00B64054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Sülysáp</w:t>
      </w:r>
      <w:r w:rsidR="00B524DE" w:rsidRPr="00B6405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- </w:t>
      </w:r>
      <w:r w:rsidRPr="00B64054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</w:t>
      </w:r>
      <w:r w:rsidR="009F3245" w:rsidRPr="00B64054">
        <w:rPr>
          <w:sz w:val="22"/>
          <w:szCs w:val="22"/>
        </w:rPr>
        <w:t xml:space="preserve">rvezett </w:t>
      </w:r>
      <w:r w:rsidR="00FA29B4">
        <w:rPr>
          <w:sz w:val="22"/>
          <w:szCs w:val="22"/>
        </w:rPr>
        <w:t>N</w:t>
      </w:r>
      <w:r w:rsidRPr="00B64054">
        <w:rPr>
          <w:sz w:val="22"/>
          <w:szCs w:val="22"/>
        </w:rPr>
        <w:t>apelem</w:t>
      </w:r>
      <w:r w:rsidR="00FA29B4">
        <w:rPr>
          <w:sz w:val="22"/>
          <w:szCs w:val="22"/>
        </w:rPr>
        <w:t>-</w:t>
      </w:r>
      <w:r w:rsidRPr="00B64054">
        <w:rPr>
          <w:sz w:val="22"/>
          <w:szCs w:val="22"/>
        </w:rPr>
        <w:t>park</w:t>
      </w:r>
      <w:r w:rsidR="009F3245" w:rsidRPr="00B64054">
        <w:rPr>
          <w:sz w:val="22"/>
          <w:szCs w:val="22"/>
        </w:rPr>
        <w:t xml:space="preserve"> projektekkel összefüggő nemzetgazdasági szempontból ki</w:t>
      </w:r>
      <w:r w:rsidRPr="00B64054">
        <w:rPr>
          <w:sz w:val="22"/>
          <w:szCs w:val="22"/>
        </w:rPr>
        <w:t>emelt jelentőségű beruházással</w:t>
      </w:r>
      <w:r w:rsidR="00B524DE" w:rsidRPr="00B64054">
        <w:rPr>
          <w:sz w:val="22"/>
          <w:szCs w:val="22"/>
        </w:rPr>
        <w:t xml:space="preserve"> </w:t>
      </w:r>
      <w:r w:rsidR="00EB577D">
        <w:rPr>
          <w:sz w:val="22"/>
          <w:szCs w:val="22"/>
        </w:rPr>
        <w:t>és a kiemelt fejlesztési területté nyilvánított gazdasági területtel</w:t>
      </w:r>
      <w:r w:rsidR="00EB577D" w:rsidRPr="00EB577D">
        <w:rPr>
          <w:sz w:val="22"/>
          <w:szCs w:val="22"/>
        </w:rPr>
        <w:t xml:space="preserve"> </w:t>
      </w:r>
      <w:r w:rsidR="00EB577D" w:rsidRPr="00B64054">
        <w:rPr>
          <w:sz w:val="22"/>
          <w:szCs w:val="22"/>
        </w:rPr>
        <w:t>kapcsolatos</w:t>
      </w:r>
      <w:r w:rsidR="00EB577D">
        <w:rPr>
          <w:sz w:val="22"/>
          <w:szCs w:val="22"/>
        </w:rPr>
        <w:t xml:space="preserve"> </w:t>
      </w:r>
      <w:r w:rsidR="00B524DE" w:rsidRPr="00B64054">
        <w:rPr>
          <w:sz w:val="22"/>
          <w:szCs w:val="22"/>
        </w:rPr>
        <w:t>településrendezési eszközök eseti módosítása, a településszerkezeti tervet módosító határozat és a helyi építési szabályzatot módosító rendelet elfogadása.</w:t>
      </w:r>
      <w:r w:rsidR="00F16412">
        <w:rPr>
          <w:sz w:val="22"/>
          <w:szCs w:val="22"/>
        </w:rPr>
        <w:t xml:space="preserve"> 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  <w:highlight w:val="yellow"/>
        </w:rPr>
      </w:pPr>
    </w:p>
    <w:p w:rsidR="00B524DE" w:rsidRPr="00B64054" w:rsidRDefault="00B64054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Sülysáp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rFonts w:cs="Arial"/>
          <w:sz w:val="22"/>
          <w:szCs w:val="22"/>
        </w:rPr>
        <w:t>Város</w:t>
      </w:r>
      <w:r w:rsidR="00B524DE" w:rsidRPr="00B64054">
        <w:rPr>
          <w:sz w:val="22"/>
          <w:szCs w:val="22"/>
        </w:rPr>
        <w:t xml:space="preserve"> Önkormányzatának Képviselő-testülete ……………………………… az alábbi határozatot hozta:</w:t>
      </w:r>
    </w:p>
    <w:p w:rsidR="00DE1A8A" w:rsidRPr="00B64054" w:rsidRDefault="00DE1A8A" w:rsidP="00B524DE">
      <w:pPr>
        <w:spacing w:before="216"/>
        <w:jc w:val="center"/>
        <w:rPr>
          <w:b/>
          <w:color w:val="000000"/>
          <w:sz w:val="22"/>
          <w:szCs w:val="22"/>
          <w:u w:val="single"/>
        </w:rPr>
      </w:pPr>
    </w:p>
    <w:p w:rsidR="00B524DE" w:rsidRPr="00B64054" w:rsidRDefault="00B524DE" w:rsidP="00B524DE">
      <w:pPr>
        <w:spacing w:before="216"/>
        <w:jc w:val="center"/>
        <w:rPr>
          <w:b/>
          <w:color w:val="000000"/>
          <w:sz w:val="22"/>
          <w:szCs w:val="22"/>
          <w:u w:val="single"/>
        </w:rPr>
      </w:pPr>
      <w:r w:rsidRPr="00B64054">
        <w:rPr>
          <w:b/>
          <w:color w:val="000000"/>
          <w:sz w:val="22"/>
          <w:szCs w:val="22"/>
          <w:u w:val="single"/>
        </w:rPr>
        <w:t>……</w:t>
      </w:r>
      <w:r w:rsidR="00BB0AD6" w:rsidRPr="00B64054">
        <w:rPr>
          <w:b/>
          <w:color w:val="000000"/>
          <w:sz w:val="22"/>
          <w:szCs w:val="22"/>
          <w:u w:val="single"/>
        </w:rPr>
        <w:t>/2018.(...)</w:t>
      </w:r>
      <w:r w:rsidRPr="00B64054">
        <w:rPr>
          <w:b/>
          <w:color w:val="000000"/>
          <w:sz w:val="22"/>
          <w:szCs w:val="22"/>
          <w:u w:val="single"/>
        </w:rPr>
        <w:t>. sz. határozat</w:t>
      </w:r>
    </w:p>
    <w:p w:rsidR="00B524DE" w:rsidRPr="00B64054" w:rsidRDefault="00B524DE" w:rsidP="00B524DE">
      <w:pPr>
        <w:pStyle w:val="Listaszerbekezds"/>
        <w:autoSpaceDE w:val="0"/>
        <w:autoSpaceDN w:val="0"/>
        <w:adjustRightInd w:val="0"/>
        <w:ind w:left="425"/>
        <w:jc w:val="center"/>
        <w:rPr>
          <w:rFonts w:cs="Arial"/>
          <w:color w:val="FF0000"/>
          <w:sz w:val="22"/>
          <w:szCs w:val="22"/>
          <w:highlight w:val="yellow"/>
        </w:rPr>
      </w:pPr>
    </w:p>
    <w:p w:rsidR="00B524DE" w:rsidRPr="00B64054" w:rsidRDefault="00B64054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  <w:r w:rsidRPr="00B64054">
        <w:rPr>
          <w:sz w:val="22"/>
          <w:szCs w:val="22"/>
        </w:rPr>
        <w:t>Sülysáp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rFonts w:cs="Arial"/>
          <w:sz w:val="22"/>
          <w:szCs w:val="22"/>
        </w:rPr>
        <w:t>Város</w:t>
      </w:r>
      <w:r w:rsidR="00B524DE" w:rsidRPr="00B64054">
        <w:rPr>
          <w:sz w:val="22"/>
          <w:szCs w:val="22"/>
        </w:rPr>
        <w:t xml:space="preserve"> Önkormányzatának Képviselő testülete úgy dönt, hogy a</w:t>
      </w:r>
      <w:r w:rsidR="00711C55" w:rsidRPr="00B64054">
        <w:rPr>
          <w:sz w:val="22"/>
          <w:szCs w:val="22"/>
        </w:rPr>
        <w:t>z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sz w:val="22"/>
          <w:szCs w:val="22"/>
        </w:rPr>
        <w:t>164/2017. (X.26.)</w:t>
      </w:r>
      <w:r w:rsidR="00B524DE" w:rsidRPr="00B64054">
        <w:rPr>
          <w:sz w:val="22"/>
          <w:szCs w:val="22"/>
        </w:rPr>
        <w:t xml:space="preserve"> sz. Kt. önkormányzati határozattal elfogadott </w:t>
      </w:r>
      <w:r w:rsidRPr="00B64054">
        <w:rPr>
          <w:sz w:val="22"/>
          <w:szCs w:val="22"/>
        </w:rPr>
        <w:t>Sülysáp</w:t>
      </w:r>
      <w:r w:rsidR="00B524DE" w:rsidRPr="00B64054">
        <w:rPr>
          <w:sz w:val="22"/>
          <w:szCs w:val="22"/>
        </w:rPr>
        <w:t xml:space="preserve"> </w:t>
      </w:r>
      <w:r w:rsidRPr="00B64054">
        <w:rPr>
          <w:rFonts w:cs="Arial"/>
          <w:sz w:val="22"/>
          <w:szCs w:val="22"/>
        </w:rPr>
        <w:t>Város</w:t>
      </w:r>
      <w:r w:rsidR="00B524DE" w:rsidRPr="00B64054">
        <w:rPr>
          <w:sz w:val="22"/>
          <w:szCs w:val="22"/>
        </w:rPr>
        <w:t xml:space="preserve"> TSZT jelű (M=1:</w:t>
      </w:r>
      <w:r w:rsidRPr="00B64054">
        <w:rPr>
          <w:sz w:val="22"/>
          <w:szCs w:val="22"/>
        </w:rPr>
        <w:t>12</w:t>
      </w:r>
      <w:r w:rsidR="00B524DE" w:rsidRPr="00B64054">
        <w:rPr>
          <w:sz w:val="22"/>
          <w:szCs w:val="22"/>
        </w:rPr>
        <w:t>.000 méretarányú) Településszerkezeti Tervét (továbbiakban TSZT)</w:t>
      </w:r>
      <w:r w:rsidR="00627942" w:rsidRPr="00B64054">
        <w:rPr>
          <w:sz w:val="22"/>
          <w:szCs w:val="22"/>
        </w:rPr>
        <w:t xml:space="preserve"> </w:t>
      </w:r>
      <w:r w:rsidR="00B524DE" w:rsidRPr="00B64054">
        <w:rPr>
          <w:sz w:val="22"/>
          <w:szCs w:val="22"/>
        </w:rPr>
        <w:t>– a</w:t>
      </w:r>
      <w:r w:rsidR="00424C0C" w:rsidRPr="00B64054">
        <w:rPr>
          <w:sz w:val="22"/>
          <w:szCs w:val="22"/>
        </w:rPr>
        <w:t xml:space="preserve"> helyi önkormányzatokról szóló </w:t>
      </w:r>
      <w:r w:rsidR="00B524DE" w:rsidRPr="00B64054">
        <w:rPr>
          <w:sz w:val="22"/>
          <w:szCs w:val="22"/>
        </w:rPr>
        <w:t>2011. évi CLXXXIX. tv.13.§. (1) bek.1. pontja szerint, valamint az épített környezet alakításáról és védelmér</w:t>
      </w:r>
      <w:r w:rsidR="00424C0C" w:rsidRPr="00B64054">
        <w:rPr>
          <w:sz w:val="22"/>
          <w:szCs w:val="22"/>
        </w:rPr>
        <w:t xml:space="preserve">ől szóló </w:t>
      </w:r>
      <w:r w:rsidR="00B524DE" w:rsidRPr="00B64054">
        <w:rPr>
          <w:sz w:val="22"/>
          <w:szCs w:val="22"/>
        </w:rPr>
        <w:t>1997. évi LXXVIII. törvény 9/B. §-ának (2) bekezdés a) pontjára tekintettel – az országos településrendezési és építési követelményekről szóló 253/1997. (X</w:t>
      </w:r>
      <w:r w:rsidR="00424C0C" w:rsidRPr="00B64054">
        <w:rPr>
          <w:sz w:val="22"/>
          <w:szCs w:val="22"/>
        </w:rPr>
        <w:t>II</w:t>
      </w:r>
      <w:r w:rsidR="00B524DE" w:rsidRPr="00B64054">
        <w:rPr>
          <w:sz w:val="22"/>
          <w:szCs w:val="22"/>
        </w:rPr>
        <w:t xml:space="preserve">.20.) Korm. rendelet hatályos állapota alapján, valamint a településfejlesztési koncepcióról, az integrált településfejlesztési stratégiáról és a településrendezési eszközökről, valamint egyes településrendezési sajátos jogintézményekről szóló 314/2012. (XI.8.) Korm. rendelet </w:t>
      </w:r>
      <w:r w:rsidR="00424C0C" w:rsidRPr="00B64054">
        <w:rPr>
          <w:sz w:val="22"/>
          <w:szCs w:val="22"/>
        </w:rPr>
        <w:t>9.§ (1) bekezdés figyelembevételével módosítja</w:t>
      </w:r>
      <w:r w:rsidR="00B524DE" w:rsidRPr="00B64054">
        <w:rPr>
          <w:sz w:val="22"/>
          <w:szCs w:val="22"/>
        </w:rPr>
        <w:t>.</w:t>
      </w:r>
    </w:p>
    <w:p w:rsidR="00B524DE" w:rsidRPr="00B64054" w:rsidRDefault="00B524DE" w:rsidP="00B524DE">
      <w:pPr>
        <w:pStyle w:val="Listaszerbekezds"/>
        <w:tabs>
          <w:tab w:val="clear" w:pos="425"/>
          <w:tab w:val="left" w:pos="0"/>
        </w:tabs>
        <w:ind w:left="0"/>
        <w:rPr>
          <w:sz w:val="22"/>
          <w:szCs w:val="22"/>
        </w:rPr>
      </w:pPr>
    </w:p>
    <w:p w:rsidR="000D0215" w:rsidRPr="00EB577D" w:rsidRDefault="00B524DE" w:rsidP="00412163">
      <w:pPr>
        <w:pStyle w:val="Listaszerbekezds"/>
        <w:numPr>
          <w:ilvl w:val="0"/>
          <w:numId w:val="6"/>
        </w:numPr>
        <w:ind w:left="426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B64054">
        <w:rPr>
          <w:sz w:val="22"/>
          <w:szCs w:val="22"/>
        </w:rPr>
        <w:t>A Képviselő-testü</w:t>
      </w:r>
      <w:r w:rsidRPr="00EB577D">
        <w:rPr>
          <w:sz w:val="22"/>
          <w:szCs w:val="22"/>
        </w:rPr>
        <w:t xml:space="preserve">let megállapítja, hogy a módosítás eredményeképpen a TSZT-ben </w:t>
      </w:r>
      <w:r w:rsidR="00B64054" w:rsidRPr="00EB577D">
        <w:rPr>
          <w:sz w:val="22"/>
          <w:szCs w:val="22"/>
        </w:rPr>
        <w:t>beillesztésre kerül a napelem</w:t>
      </w:r>
      <w:r w:rsidR="00412163" w:rsidRPr="00EB577D">
        <w:rPr>
          <w:sz w:val="22"/>
          <w:szCs w:val="22"/>
        </w:rPr>
        <w:t>-</w:t>
      </w:r>
      <w:r w:rsidR="00B64054" w:rsidRPr="00EB577D">
        <w:rPr>
          <w:sz w:val="22"/>
          <w:szCs w:val="22"/>
        </w:rPr>
        <w:t>park</w:t>
      </w:r>
      <w:r w:rsidRPr="00EB577D">
        <w:rPr>
          <w:sz w:val="22"/>
          <w:szCs w:val="22"/>
        </w:rPr>
        <w:t xml:space="preserve"> </w:t>
      </w:r>
      <w:r w:rsidR="00B64054" w:rsidRPr="00EB577D">
        <w:rPr>
          <w:sz w:val="22"/>
          <w:szCs w:val="22"/>
        </w:rPr>
        <w:t>céljára kijelölt terület</w:t>
      </w:r>
      <w:r w:rsidR="003F7FF4" w:rsidRPr="00EB577D">
        <w:rPr>
          <w:sz w:val="22"/>
          <w:szCs w:val="22"/>
        </w:rPr>
        <w:t xml:space="preserve"> (</w:t>
      </w:r>
      <w:proofErr w:type="spellStart"/>
      <w:r w:rsidR="003F7FF4" w:rsidRPr="00EB577D">
        <w:rPr>
          <w:sz w:val="22"/>
          <w:szCs w:val="22"/>
        </w:rPr>
        <w:t>Kb-En</w:t>
      </w:r>
      <w:proofErr w:type="spellEnd"/>
      <w:r w:rsidR="003F7FF4" w:rsidRPr="00EB577D">
        <w:rPr>
          <w:sz w:val="22"/>
          <w:szCs w:val="22"/>
        </w:rPr>
        <w:t>)</w:t>
      </w:r>
      <w:r w:rsidRPr="00EB577D">
        <w:rPr>
          <w:sz w:val="22"/>
          <w:szCs w:val="22"/>
        </w:rPr>
        <w:t>.</w:t>
      </w:r>
      <w:r w:rsidR="000D0215" w:rsidRPr="00EB577D">
        <w:rPr>
          <w:sz w:val="22"/>
          <w:szCs w:val="22"/>
        </w:rPr>
        <w:t xml:space="preserve"> A TSZT területfelhaszná</w:t>
      </w:r>
      <w:r w:rsidR="00B64054" w:rsidRPr="00EB577D">
        <w:rPr>
          <w:sz w:val="22"/>
          <w:szCs w:val="22"/>
        </w:rPr>
        <w:t>lás változást érintő módosítás</w:t>
      </w:r>
      <w:r w:rsidR="000D0215" w:rsidRPr="00EB577D">
        <w:rPr>
          <w:sz w:val="22"/>
          <w:szCs w:val="22"/>
        </w:rPr>
        <w:t xml:space="preserve"> </w:t>
      </w:r>
      <w:r w:rsidR="00B64054" w:rsidRPr="00EB577D">
        <w:rPr>
          <w:sz w:val="22"/>
          <w:szCs w:val="22"/>
        </w:rPr>
        <w:t>Sülysáp</w:t>
      </w:r>
      <w:r w:rsidR="000D0215" w:rsidRPr="00EB577D">
        <w:rPr>
          <w:sz w:val="22"/>
          <w:szCs w:val="22"/>
        </w:rPr>
        <w:t xml:space="preserve"> </w:t>
      </w:r>
      <w:r w:rsidR="00B64054" w:rsidRPr="00EB577D">
        <w:rPr>
          <w:sz w:val="22"/>
          <w:szCs w:val="22"/>
        </w:rPr>
        <w:t>0431/9</w:t>
      </w:r>
      <w:r w:rsidR="000D0215" w:rsidRPr="00EB577D">
        <w:rPr>
          <w:sz w:val="22"/>
          <w:szCs w:val="22"/>
        </w:rPr>
        <w:t xml:space="preserve"> hrsz., összesen mintegy 1,</w:t>
      </w:r>
      <w:r w:rsidR="00B64054" w:rsidRPr="00EB577D">
        <w:rPr>
          <w:sz w:val="22"/>
          <w:szCs w:val="22"/>
        </w:rPr>
        <w:t>5048</w:t>
      </w:r>
      <w:r w:rsidR="00F16412" w:rsidRPr="00EB577D">
        <w:rPr>
          <w:sz w:val="22"/>
          <w:szCs w:val="22"/>
        </w:rPr>
        <w:t xml:space="preserve"> ha területére terjed</w:t>
      </w:r>
      <w:r w:rsidR="000D0215" w:rsidRPr="00EB577D">
        <w:rPr>
          <w:sz w:val="22"/>
          <w:szCs w:val="22"/>
        </w:rPr>
        <w:t xml:space="preserve"> ki.</w:t>
      </w:r>
      <w:r w:rsidR="00412163" w:rsidRPr="00EB577D">
        <w:t xml:space="preserve"> </w:t>
      </w:r>
    </w:p>
    <w:p w:rsidR="00412163" w:rsidRPr="00EB577D" w:rsidRDefault="00412163" w:rsidP="00412163">
      <w:pPr>
        <w:pStyle w:val="Listaszerbekezds"/>
        <w:ind w:left="426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412163" w:rsidRPr="00EB577D" w:rsidRDefault="00412163" w:rsidP="00412163">
      <w:pPr>
        <w:pStyle w:val="Listaszerbekezds"/>
        <w:numPr>
          <w:ilvl w:val="0"/>
          <w:numId w:val="6"/>
        </w:numPr>
        <w:ind w:left="426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A</w:t>
      </w:r>
      <w:r w:rsidR="00F16412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F16412" w:rsidRPr="00EB577D">
        <w:rPr>
          <w:rFonts w:asciiTheme="minorHAnsi" w:hAnsiTheme="minorHAnsi" w:cs="Arial"/>
          <w:sz w:val="22"/>
          <w:szCs w:val="22"/>
        </w:rPr>
        <w:t>fotovoltaikus</w:t>
      </w:r>
      <w:proofErr w:type="spellEnd"/>
      <w:r w:rsidR="00F16412" w:rsidRPr="00EB577D">
        <w:rPr>
          <w:rFonts w:asciiTheme="minorHAnsi" w:hAnsiTheme="minorHAnsi" w:cs="Arial"/>
          <w:sz w:val="22"/>
          <w:szCs w:val="22"/>
        </w:rPr>
        <w:t xml:space="preserve"> (PV) erőművek megvalósítását célzó</w:t>
      </w: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F16412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rojekt részét</w:t>
      </w:r>
      <w:r w:rsidRPr="00EB577D">
        <w:rPr>
          <w:rFonts w:asciiTheme="minorHAnsi" w:hAnsiTheme="minorHAnsi"/>
          <w:sz w:val="22"/>
          <w:szCs w:val="22"/>
        </w:rPr>
        <w:t xml:space="preserve"> képez</w:t>
      </w:r>
      <w:r w:rsidR="00F16412" w:rsidRPr="00EB577D">
        <w:rPr>
          <w:rFonts w:asciiTheme="minorHAnsi" w:hAnsiTheme="minorHAnsi"/>
          <w:sz w:val="22"/>
          <w:szCs w:val="22"/>
        </w:rPr>
        <w:t>ő Sülysáp városban tervezett létesítményegyüttes: a</w:t>
      </w:r>
      <w:r w:rsidRPr="00EB577D">
        <w:rPr>
          <w:sz w:val="22"/>
          <w:szCs w:val="22"/>
        </w:rPr>
        <w:t xml:space="preserve"> 0,5 MW alatti névleges teljesítőképességű, mintegy 1,5 ha területigényű napelem-park, a hozzá tartozó kapcsoló és átalakító berendezésekkel, és egyéb kiszolgáló létesítményekkel (továbbiakban: Napelem-park), valamint a középfeszültségű hálózatra történő rácsatlakozást szolgáló termelői vezeték. A Napelem-park elhelyezésére szolgáló Ingatlan jelenlegi, közútról történő megközelítése biztosítja a telepítéshez és az üzemeltetéshez szükséges feltételeket.</w:t>
      </w:r>
    </w:p>
    <w:p w:rsidR="00EF13B4" w:rsidRPr="00EB577D" w:rsidRDefault="00EF13B4" w:rsidP="00EF13B4">
      <w:pPr>
        <w:pStyle w:val="Listaszerbekezds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EF13B4" w:rsidRPr="00EB577D" w:rsidRDefault="00EF13B4" w:rsidP="003F7FF4">
      <w:pPr>
        <w:pStyle w:val="Listaszerbekezds"/>
        <w:numPr>
          <w:ilvl w:val="0"/>
          <w:numId w:val="6"/>
        </w:numPr>
        <w:ind w:left="426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A </w:t>
      </w:r>
      <w:proofErr w:type="spellStart"/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G</w:t>
      </w: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ksz</w:t>
      </w:r>
      <w:proofErr w:type="spellEnd"/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jelű</w:t>
      </w:r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kereskedelmi-szolgáltató gazdasági területfelhasználás m</w:t>
      </w: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egengedett legnagyobb beépítési sűrűség</w:t>
      </w:r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e/szintterület sűrűsége 1,2- </w:t>
      </w:r>
      <w:proofErr w:type="spellStart"/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ről</w:t>
      </w:r>
      <w:proofErr w:type="spellEnd"/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1,6- </w:t>
      </w:r>
      <w:proofErr w:type="spellStart"/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>ra</w:t>
      </w:r>
      <w:proofErr w:type="spellEnd"/>
      <w:r w:rsidR="003F7FF4"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módosul.</w:t>
      </w:r>
    </w:p>
    <w:p w:rsidR="003376D0" w:rsidRPr="003376D0" w:rsidRDefault="003376D0" w:rsidP="003376D0">
      <w:pPr>
        <w:pStyle w:val="Listaszerbekezds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3C4208" w:rsidRPr="00B64054" w:rsidRDefault="00B64054" w:rsidP="00CB1CC4">
      <w:pPr>
        <w:pStyle w:val="Listaszerbekezds"/>
        <w:numPr>
          <w:ilvl w:val="0"/>
          <w:numId w:val="6"/>
        </w:numPr>
        <w:ind w:left="426"/>
        <w:rPr>
          <w:sz w:val="22"/>
          <w:szCs w:val="22"/>
        </w:rPr>
      </w:pPr>
      <w:r w:rsidRPr="00B64054">
        <w:rPr>
          <w:sz w:val="22"/>
          <w:szCs w:val="22"/>
        </w:rPr>
        <w:t>Sülysáp</w:t>
      </w:r>
      <w:r w:rsidR="00CB1CC4" w:rsidRPr="00B64054">
        <w:rPr>
          <w:sz w:val="22"/>
          <w:szCs w:val="22"/>
        </w:rPr>
        <w:t xml:space="preserve"> </w:t>
      </w:r>
      <w:r w:rsidRPr="00B64054">
        <w:rPr>
          <w:sz w:val="22"/>
          <w:szCs w:val="22"/>
        </w:rPr>
        <w:t>Város</w:t>
      </w:r>
      <w:r w:rsidR="00CB1CC4" w:rsidRPr="00B64054">
        <w:rPr>
          <w:sz w:val="22"/>
          <w:szCs w:val="22"/>
        </w:rPr>
        <w:t xml:space="preserve"> Képviselő-testülete jóváhagyja Településszerkezeti tervét (TSZT) az 1. sz. melléklet szerinti Leírásnak, valamint a jelen határozat 2. sz. melléklet szerinti TSZT (M=1:</w:t>
      </w:r>
      <w:r w:rsidRPr="00B64054">
        <w:rPr>
          <w:sz w:val="22"/>
          <w:szCs w:val="22"/>
        </w:rPr>
        <w:t>12</w:t>
      </w:r>
      <w:r w:rsidR="00CB1CC4" w:rsidRPr="00B64054">
        <w:rPr>
          <w:sz w:val="22"/>
          <w:szCs w:val="22"/>
        </w:rPr>
        <w:t xml:space="preserve">.000 méretarányú) Településszerkezeti terv ábrázolt módosításának megfelelően egységes szerkezetben. </w:t>
      </w:r>
      <w:r w:rsidR="00604565" w:rsidRPr="00B64054">
        <w:rPr>
          <w:rFonts w:asciiTheme="minorHAnsi" w:hAnsiTheme="minorHAnsi"/>
          <w:sz w:val="22"/>
          <w:szCs w:val="22"/>
        </w:rPr>
        <w:t xml:space="preserve">A </w:t>
      </w:r>
      <w:r w:rsidR="00604565" w:rsidRPr="00B64054">
        <w:rPr>
          <w:sz w:val="22"/>
          <w:szCs w:val="22"/>
        </w:rPr>
        <w:t>2. sz. melléklet szerinti TSZT</w:t>
      </w:r>
      <w:r w:rsidR="00604565" w:rsidRPr="00B64054">
        <w:rPr>
          <w:rFonts w:asciiTheme="minorHAnsi" w:hAnsiTheme="minorHAnsi"/>
          <w:sz w:val="22"/>
          <w:szCs w:val="22"/>
        </w:rPr>
        <w:t xml:space="preserve"> jelen módosítással nem érintett részei változatlan tartalommal </w:t>
      </w:r>
      <w:r w:rsidR="00F66F87" w:rsidRPr="00B64054">
        <w:rPr>
          <w:rFonts w:asciiTheme="minorHAnsi" w:hAnsiTheme="minorHAnsi"/>
          <w:sz w:val="22"/>
          <w:szCs w:val="22"/>
        </w:rPr>
        <w:t>kerülnek ábrázolásra</w:t>
      </w:r>
      <w:r w:rsidR="00604565" w:rsidRPr="00B64054">
        <w:rPr>
          <w:rFonts w:asciiTheme="minorHAnsi" w:hAnsiTheme="minorHAnsi"/>
          <w:sz w:val="22"/>
          <w:szCs w:val="22"/>
        </w:rPr>
        <w:t>.</w:t>
      </w:r>
      <w:r w:rsidR="003C4208" w:rsidRPr="00B64054">
        <w:rPr>
          <w:sz w:val="22"/>
          <w:szCs w:val="22"/>
        </w:rPr>
        <w:t xml:space="preserve"> </w:t>
      </w:r>
    </w:p>
    <w:p w:rsidR="003C4208" w:rsidRPr="00B64054" w:rsidRDefault="003C4208" w:rsidP="003C4208">
      <w:pPr>
        <w:ind w:left="425"/>
        <w:rPr>
          <w:sz w:val="22"/>
          <w:szCs w:val="22"/>
        </w:rPr>
      </w:pPr>
    </w:p>
    <w:p w:rsidR="00B524DE" w:rsidRPr="00B64054" w:rsidRDefault="00B524DE" w:rsidP="00CB1CC4">
      <w:pPr>
        <w:pStyle w:val="Listaszerbekezds"/>
        <w:numPr>
          <w:ilvl w:val="0"/>
          <w:numId w:val="6"/>
        </w:numPr>
        <w:ind w:left="426"/>
        <w:rPr>
          <w:sz w:val="22"/>
          <w:szCs w:val="22"/>
        </w:rPr>
      </w:pPr>
      <w:r w:rsidRPr="00B64054">
        <w:rPr>
          <w:sz w:val="22"/>
          <w:szCs w:val="22"/>
        </w:rPr>
        <w:lastRenderedPageBreak/>
        <w:t xml:space="preserve">A </w:t>
      </w:r>
      <w:r w:rsidR="003C4208" w:rsidRPr="00B64054">
        <w:rPr>
          <w:sz w:val="22"/>
          <w:szCs w:val="22"/>
        </w:rPr>
        <w:t>Pest megye</w:t>
      </w:r>
      <w:r w:rsidRPr="00B64054">
        <w:rPr>
          <w:sz w:val="22"/>
          <w:szCs w:val="22"/>
        </w:rPr>
        <w:t xml:space="preserve"> Településrendezé</w:t>
      </w:r>
      <w:r w:rsidR="003C4208" w:rsidRPr="00B64054">
        <w:rPr>
          <w:sz w:val="22"/>
          <w:szCs w:val="22"/>
        </w:rPr>
        <w:t>si terv és a TSZT-t érintő, 2018</w:t>
      </w:r>
      <w:r w:rsidRPr="00B64054">
        <w:rPr>
          <w:sz w:val="22"/>
          <w:szCs w:val="22"/>
        </w:rPr>
        <w:t xml:space="preserve">. évben végrehajtott módosítások területi mérlege a jelen előterjesztés 1. számú mellékletében szereplő leírás 3. és 4. </w:t>
      </w:r>
      <w:r w:rsidR="003C4208" w:rsidRPr="00B64054">
        <w:rPr>
          <w:sz w:val="22"/>
          <w:szCs w:val="22"/>
        </w:rPr>
        <w:t>fejezetbe</w:t>
      </w:r>
      <w:r w:rsidRPr="00B64054">
        <w:rPr>
          <w:sz w:val="22"/>
          <w:szCs w:val="22"/>
        </w:rPr>
        <w:t xml:space="preserve"> meghatározottaknak megfelelően alakul.</w:t>
      </w:r>
    </w:p>
    <w:p w:rsidR="00B524DE" w:rsidRPr="00B64054" w:rsidRDefault="00B524DE" w:rsidP="00B524DE">
      <w:pPr>
        <w:pStyle w:val="Listaszerbekezds"/>
        <w:ind w:left="425"/>
        <w:rPr>
          <w:sz w:val="22"/>
          <w:szCs w:val="22"/>
          <w:highlight w:val="yellow"/>
        </w:rPr>
      </w:pPr>
    </w:p>
    <w:p w:rsidR="007E529B" w:rsidRPr="007E529B" w:rsidRDefault="003C4208" w:rsidP="007E529B">
      <w:pPr>
        <w:pStyle w:val="Listaszerbekezds"/>
        <w:numPr>
          <w:ilvl w:val="0"/>
          <w:numId w:val="6"/>
        </w:numPr>
        <w:ind w:left="426"/>
        <w:rPr>
          <w:sz w:val="22"/>
          <w:szCs w:val="22"/>
        </w:rPr>
      </w:pPr>
      <w:r w:rsidRPr="00B64054">
        <w:rPr>
          <w:sz w:val="22"/>
          <w:szCs w:val="22"/>
        </w:rPr>
        <w:t xml:space="preserve">Az épített környezet alakításáról és védelméről szóló 1997. évi LXXVIII. tv. (Étv.) 7.§ (3) bek. b) pontja szerint a település közigazgatási területének – a külön jogszabály alapján számított – biológiai aktivitásértéke az újonnan beépítésre szánt területek kijelölésével egyidejűleg nem csökkenhet az átminősítés előtti aktivitásértékhez képest. A tervmódosítás során új beépítésre szánt terület nem kerül kijelölésre, </w:t>
      </w:r>
      <w:r w:rsidR="00DE1A8A" w:rsidRPr="00B64054">
        <w:rPr>
          <w:sz w:val="22"/>
          <w:szCs w:val="22"/>
        </w:rPr>
        <w:t xml:space="preserve">ezért </w:t>
      </w:r>
      <w:r w:rsidRPr="00B64054">
        <w:rPr>
          <w:sz w:val="22"/>
          <w:szCs w:val="22"/>
        </w:rPr>
        <w:t xml:space="preserve">a </w:t>
      </w:r>
      <w:r w:rsidR="00DE1A8A" w:rsidRPr="00B64054">
        <w:rPr>
          <w:sz w:val="22"/>
          <w:szCs w:val="22"/>
        </w:rPr>
        <w:t>fenti törvényi előírás szerint jelen esetben a</w:t>
      </w:r>
      <w:r w:rsidRPr="00B64054">
        <w:rPr>
          <w:sz w:val="22"/>
          <w:szCs w:val="22"/>
        </w:rPr>
        <w:t xml:space="preserve"> biológiai aktivitásérték számítás </w:t>
      </w:r>
      <w:r w:rsidR="00DE1A8A" w:rsidRPr="00B64054">
        <w:rPr>
          <w:sz w:val="22"/>
          <w:szCs w:val="22"/>
        </w:rPr>
        <w:t>nem</w:t>
      </w:r>
      <w:r w:rsidRPr="00B64054">
        <w:rPr>
          <w:sz w:val="22"/>
          <w:szCs w:val="22"/>
        </w:rPr>
        <w:t xml:space="preserve"> szükség</w:t>
      </w:r>
      <w:r w:rsidR="00DE1A8A" w:rsidRPr="00B64054">
        <w:rPr>
          <w:sz w:val="22"/>
          <w:szCs w:val="22"/>
        </w:rPr>
        <w:t>es</w:t>
      </w:r>
      <w:r w:rsidRPr="00B64054">
        <w:rPr>
          <w:sz w:val="22"/>
          <w:szCs w:val="22"/>
        </w:rPr>
        <w:t>.</w:t>
      </w:r>
      <w:r w:rsidR="007E529B" w:rsidRPr="007E529B">
        <w:t xml:space="preserve"> </w:t>
      </w:r>
    </w:p>
    <w:p w:rsidR="007E529B" w:rsidRPr="007E529B" w:rsidRDefault="007E529B" w:rsidP="007E529B">
      <w:pPr>
        <w:pStyle w:val="Listaszerbekezds"/>
        <w:rPr>
          <w:sz w:val="22"/>
          <w:szCs w:val="22"/>
        </w:rPr>
      </w:pPr>
    </w:p>
    <w:p w:rsidR="003C4208" w:rsidRPr="00EB577D" w:rsidRDefault="007E529B" w:rsidP="007E529B">
      <w:pPr>
        <w:pStyle w:val="Listaszerbekezds"/>
        <w:ind w:left="426"/>
        <w:rPr>
          <w:sz w:val="22"/>
          <w:szCs w:val="22"/>
        </w:rPr>
      </w:pPr>
      <w:r>
        <w:rPr>
          <w:sz w:val="22"/>
          <w:szCs w:val="22"/>
        </w:rPr>
        <w:t>Sülysáp város közigazgatási területének</w:t>
      </w:r>
      <w:r w:rsidRPr="007E529B">
        <w:rPr>
          <w:sz w:val="22"/>
          <w:szCs w:val="22"/>
        </w:rPr>
        <w:t xml:space="preserve"> biológiai aktivitásértékének számításról szóló 9/2007. (IV. 3.) ÖTM rendelet értelmében </w:t>
      </w:r>
      <w:r>
        <w:rPr>
          <w:sz w:val="22"/>
          <w:szCs w:val="22"/>
        </w:rPr>
        <w:t>a 2017 évi f</w:t>
      </w:r>
      <w:r w:rsidRPr="00EB577D">
        <w:rPr>
          <w:sz w:val="22"/>
          <w:szCs w:val="22"/>
        </w:rPr>
        <w:t>elülvizsgálat településszerkezeti tervi leírásában kiszámított biológiai aktivitásértékek főbb összesített adata:</w:t>
      </w:r>
      <w:r w:rsidRPr="00EB577D">
        <w:t xml:space="preserve"> </w:t>
      </w:r>
      <w:r w:rsidRPr="00EB577D">
        <w:rPr>
          <w:sz w:val="22"/>
          <w:szCs w:val="22"/>
        </w:rPr>
        <w:t>+ 274,326 pont.</w:t>
      </w:r>
      <w:r w:rsidR="00F16412" w:rsidRPr="00EB577D">
        <w:rPr>
          <w:sz w:val="22"/>
          <w:szCs w:val="22"/>
        </w:rPr>
        <w:t xml:space="preserve"> Ezt az egyenleget a jelen módosítás nem befolyásolja</w:t>
      </w:r>
      <w:r w:rsidR="000D53A6" w:rsidRPr="00EB577D">
        <w:rPr>
          <w:sz w:val="22"/>
          <w:szCs w:val="22"/>
        </w:rPr>
        <w:t>, az egyenleg a soron következő módosítási eljárásban változatlan összeggel vehető figyelembe.</w:t>
      </w:r>
    </w:p>
    <w:p w:rsidR="003C4208" w:rsidRPr="007E529B" w:rsidRDefault="003C4208" w:rsidP="00B524DE">
      <w:pPr>
        <w:pStyle w:val="Listaszerbekezds"/>
        <w:ind w:left="425"/>
        <w:rPr>
          <w:sz w:val="22"/>
          <w:szCs w:val="22"/>
        </w:rPr>
      </w:pPr>
    </w:p>
    <w:p w:rsidR="00CD1079" w:rsidRPr="007E529B" w:rsidRDefault="00CD1079" w:rsidP="00412163">
      <w:pPr>
        <w:pStyle w:val="Listaszerbekezds"/>
        <w:numPr>
          <w:ilvl w:val="0"/>
          <w:numId w:val="6"/>
        </w:numPr>
        <w:ind w:left="426"/>
        <w:rPr>
          <w:rFonts w:asciiTheme="minorHAnsi" w:hAnsiTheme="minorHAnsi"/>
          <w:sz w:val="22"/>
          <w:szCs w:val="22"/>
        </w:rPr>
      </w:pPr>
      <w:r w:rsidRPr="007E529B">
        <w:rPr>
          <w:rFonts w:asciiTheme="minorHAnsi" w:hAnsiTheme="minorHAnsi"/>
          <w:sz w:val="22"/>
          <w:szCs w:val="22"/>
        </w:rPr>
        <w:t xml:space="preserve">Jelen határozat kihirdetését követően a TSZT elfogadásáról szóló </w:t>
      </w:r>
      <w:r w:rsidR="007E529B" w:rsidRPr="007E529B">
        <w:rPr>
          <w:sz w:val="22"/>
          <w:szCs w:val="22"/>
        </w:rPr>
        <w:t>164/2017. (X.26.)</w:t>
      </w:r>
      <w:r w:rsidRPr="007E529B">
        <w:rPr>
          <w:rFonts w:asciiTheme="minorHAnsi" w:hAnsiTheme="minorHAnsi" w:cs="Arial"/>
          <w:sz w:val="22"/>
          <w:szCs w:val="22"/>
        </w:rPr>
        <w:t xml:space="preserve"> sz.</w:t>
      </w:r>
      <w:r w:rsidRPr="007E529B">
        <w:rPr>
          <w:rFonts w:asciiTheme="minorHAnsi" w:hAnsiTheme="minorHAnsi"/>
          <w:sz w:val="22"/>
          <w:szCs w:val="22"/>
        </w:rPr>
        <w:t xml:space="preserve"> önkormányzati határozat </w:t>
      </w:r>
      <w:r w:rsidR="00DC0C3A">
        <w:rPr>
          <w:rFonts w:asciiTheme="minorHAnsi" w:hAnsiTheme="minorHAnsi"/>
          <w:sz w:val="22"/>
          <w:szCs w:val="22"/>
        </w:rPr>
        <w:t>e</w:t>
      </w:r>
      <w:r w:rsidRPr="007E529B">
        <w:rPr>
          <w:rFonts w:asciiTheme="minorHAnsi" w:hAnsiTheme="minorHAnsi"/>
          <w:sz w:val="22"/>
          <w:szCs w:val="22"/>
        </w:rPr>
        <w:t xml:space="preserve"> módosítással együttesen alkalmazható.</w:t>
      </w:r>
    </w:p>
    <w:p w:rsidR="00CD1079" w:rsidRPr="007E529B" w:rsidRDefault="00CD1079" w:rsidP="00B524DE">
      <w:pPr>
        <w:pStyle w:val="Listaszerbekezds"/>
        <w:ind w:left="425"/>
        <w:rPr>
          <w:sz w:val="22"/>
          <w:szCs w:val="22"/>
        </w:rPr>
      </w:pPr>
    </w:p>
    <w:p w:rsidR="00B524DE" w:rsidRPr="00B64054" w:rsidRDefault="00B524DE" w:rsidP="00B524DE">
      <w:pPr>
        <w:pStyle w:val="Listaszerbekezds"/>
        <w:ind w:left="426"/>
        <w:rPr>
          <w:sz w:val="22"/>
          <w:szCs w:val="22"/>
          <w:highlight w:val="yellow"/>
        </w:rPr>
      </w:pPr>
    </w:p>
    <w:p w:rsidR="00B524DE" w:rsidRPr="007E529B" w:rsidRDefault="00B524DE" w:rsidP="00B524DE">
      <w:pPr>
        <w:pStyle w:val="Standard"/>
        <w:jc w:val="both"/>
        <w:rPr>
          <w:rFonts w:ascii="Calibri" w:hAnsi="Calibri"/>
          <w:b w:val="0"/>
          <w:sz w:val="22"/>
          <w:szCs w:val="22"/>
        </w:rPr>
      </w:pPr>
      <w:r w:rsidRPr="007E529B">
        <w:rPr>
          <w:rFonts w:ascii="Calibri" w:hAnsi="Calibri"/>
          <w:b w:val="0"/>
          <w:sz w:val="22"/>
          <w:szCs w:val="22"/>
        </w:rPr>
        <w:t>A Képviselő-testület felkéri a polgármestert, hogy az Étv. 8. § (4) bekezdésének és a 314/2012. (XI.8.) Korm. rendelet 43. § (2) bekezdésének rendelkezései szerint gondoskodjon a módosított településrendezési eszközök (településszerkezeti terv, helyi építési szabályzat), azok elfogadását követő 15 napon belüli közzétételéről, nyilvánosságának biztosításáról a 314/2012. (XI.8.) Korm. rendelet 43. § (2) bekezdése szerinti szervek részére való megküldéséről, illetve elérhetőségéről.</w:t>
      </w:r>
    </w:p>
    <w:p w:rsidR="00B524DE" w:rsidRPr="007E529B" w:rsidRDefault="00B524DE" w:rsidP="00B524DE">
      <w:pPr>
        <w:pStyle w:val="Listaszerbekezds"/>
        <w:ind w:left="426"/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  <w:r w:rsidRPr="007E529B">
        <w:rPr>
          <w:sz w:val="22"/>
          <w:szCs w:val="22"/>
        </w:rPr>
        <w:t>Ez a határozat és a mellékletét képező leírás és településszerkezeti tervlap</w:t>
      </w:r>
      <w:r w:rsidR="00DE1A8A" w:rsidRPr="007E529B">
        <w:rPr>
          <w:sz w:val="22"/>
          <w:szCs w:val="22"/>
        </w:rPr>
        <w:t xml:space="preserve"> 2018. </w:t>
      </w:r>
      <w:r w:rsidRPr="007E529B">
        <w:rPr>
          <w:sz w:val="22"/>
          <w:szCs w:val="22"/>
        </w:rPr>
        <w:t xml:space="preserve">év </w:t>
      </w:r>
      <w:r w:rsidR="007E529B">
        <w:rPr>
          <w:color w:val="000000"/>
          <w:spacing w:val="-6"/>
          <w:sz w:val="22"/>
          <w:szCs w:val="22"/>
        </w:rPr>
        <w:t>…………………</w:t>
      </w:r>
      <w:r w:rsidR="00DE1A8A" w:rsidRPr="007E529B">
        <w:rPr>
          <w:sz w:val="22"/>
          <w:szCs w:val="22"/>
        </w:rPr>
        <w:t xml:space="preserve"> </w:t>
      </w:r>
      <w:r w:rsidRPr="007E529B">
        <w:rPr>
          <w:sz w:val="22"/>
          <w:szCs w:val="22"/>
        </w:rPr>
        <w:t>hó</w:t>
      </w:r>
      <w:r w:rsidR="00DE1A8A" w:rsidRPr="007E529B">
        <w:rPr>
          <w:sz w:val="22"/>
          <w:szCs w:val="22"/>
        </w:rPr>
        <w:t xml:space="preserve"> </w:t>
      </w:r>
      <w:r w:rsidRPr="007E529B">
        <w:rPr>
          <w:sz w:val="22"/>
          <w:szCs w:val="22"/>
        </w:rPr>
        <w:t>………</w:t>
      </w:r>
      <w:r w:rsidR="00DE1A8A" w:rsidRPr="007E529B">
        <w:rPr>
          <w:sz w:val="22"/>
          <w:szCs w:val="22"/>
        </w:rPr>
        <w:t xml:space="preserve"> </w:t>
      </w:r>
      <w:r w:rsidRPr="007E529B">
        <w:rPr>
          <w:sz w:val="22"/>
          <w:szCs w:val="22"/>
        </w:rPr>
        <w:t>nap</w:t>
      </w:r>
      <w:r w:rsidR="00DE1A8A" w:rsidRPr="007E529B">
        <w:rPr>
          <w:sz w:val="22"/>
          <w:szCs w:val="22"/>
        </w:rPr>
        <w:t xml:space="preserve">ján </w:t>
      </w:r>
      <w:r w:rsidRPr="007E529B">
        <w:rPr>
          <w:sz w:val="22"/>
          <w:szCs w:val="22"/>
        </w:rPr>
        <w:t>(</w:t>
      </w:r>
      <w:r w:rsidR="00DE1A8A" w:rsidRPr="007E529B">
        <w:rPr>
          <w:sz w:val="22"/>
          <w:szCs w:val="22"/>
        </w:rPr>
        <w:t xml:space="preserve">a </w:t>
      </w:r>
      <w:r w:rsidRPr="007E529B">
        <w:rPr>
          <w:sz w:val="22"/>
          <w:szCs w:val="22"/>
        </w:rPr>
        <w:t>megállapításukat követő napon) lép hatályba.</w:t>
      </w: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  <w:r w:rsidRPr="007E529B">
        <w:rPr>
          <w:sz w:val="22"/>
          <w:szCs w:val="22"/>
        </w:rPr>
        <w:t>Határidő: azonnal</w:t>
      </w:r>
    </w:p>
    <w:p w:rsidR="00B524DE" w:rsidRPr="007E529B" w:rsidRDefault="00B524DE" w:rsidP="00B524DE">
      <w:pPr>
        <w:rPr>
          <w:sz w:val="22"/>
          <w:szCs w:val="22"/>
        </w:rPr>
      </w:pPr>
      <w:r w:rsidRPr="007E529B">
        <w:rPr>
          <w:sz w:val="22"/>
          <w:szCs w:val="22"/>
        </w:rPr>
        <w:t xml:space="preserve">Felelős: </w:t>
      </w:r>
      <w:r w:rsidR="007E529B" w:rsidRPr="007E529B">
        <w:rPr>
          <w:sz w:val="22"/>
          <w:szCs w:val="22"/>
        </w:rPr>
        <w:t>Horinka László</w:t>
      </w: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rPr>
          <w:sz w:val="22"/>
          <w:szCs w:val="22"/>
        </w:rPr>
      </w:pPr>
    </w:p>
    <w:p w:rsidR="00B524DE" w:rsidRPr="007E529B" w:rsidRDefault="00B524DE" w:rsidP="00B524DE">
      <w:pPr>
        <w:jc w:val="center"/>
        <w:rPr>
          <w:sz w:val="22"/>
          <w:szCs w:val="22"/>
        </w:rPr>
      </w:pPr>
      <w:r w:rsidRPr="007E529B">
        <w:rPr>
          <w:sz w:val="22"/>
          <w:szCs w:val="22"/>
        </w:rPr>
        <w:t>Kmf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4180"/>
      </w:tblGrid>
      <w:tr w:rsidR="00B524DE" w:rsidRPr="007E529B" w:rsidTr="00921168">
        <w:trPr>
          <w:jc w:val="center"/>
        </w:trPr>
        <w:tc>
          <w:tcPr>
            <w:tcW w:w="4180" w:type="dxa"/>
          </w:tcPr>
          <w:p w:rsidR="00B524DE" w:rsidRPr="007E529B" w:rsidRDefault="00B524DE" w:rsidP="00921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0" w:type="dxa"/>
          </w:tcPr>
          <w:p w:rsidR="00B524DE" w:rsidRPr="007E529B" w:rsidRDefault="00B524DE" w:rsidP="00921168">
            <w:pPr>
              <w:jc w:val="center"/>
              <w:rPr>
                <w:sz w:val="22"/>
                <w:szCs w:val="22"/>
              </w:rPr>
            </w:pPr>
          </w:p>
        </w:tc>
      </w:tr>
      <w:tr w:rsidR="00B524DE" w:rsidRPr="007E529B" w:rsidTr="00921168">
        <w:trPr>
          <w:jc w:val="center"/>
        </w:trPr>
        <w:tc>
          <w:tcPr>
            <w:tcW w:w="4180" w:type="dxa"/>
          </w:tcPr>
          <w:p w:rsidR="00B524DE" w:rsidRPr="007E529B" w:rsidRDefault="007E529B" w:rsidP="00921168">
            <w:pPr>
              <w:tabs>
                <w:tab w:val="left" w:pos="1358"/>
                <w:tab w:val="center" w:pos="2020"/>
              </w:tabs>
              <w:jc w:val="center"/>
              <w:rPr>
                <w:sz w:val="22"/>
                <w:szCs w:val="22"/>
              </w:rPr>
            </w:pPr>
            <w:r w:rsidRPr="007E529B">
              <w:rPr>
                <w:sz w:val="22"/>
                <w:szCs w:val="22"/>
              </w:rPr>
              <w:t>Horinka László</w:t>
            </w:r>
          </w:p>
          <w:p w:rsidR="00B524DE" w:rsidRPr="007E529B" w:rsidRDefault="00B524DE" w:rsidP="00921168">
            <w:pPr>
              <w:jc w:val="center"/>
              <w:rPr>
                <w:sz w:val="22"/>
                <w:szCs w:val="22"/>
              </w:rPr>
            </w:pPr>
            <w:r w:rsidRPr="007E529B">
              <w:rPr>
                <w:sz w:val="22"/>
                <w:szCs w:val="22"/>
              </w:rPr>
              <w:t>Polgármester</w:t>
            </w:r>
          </w:p>
        </w:tc>
        <w:tc>
          <w:tcPr>
            <w:tcW w:w="4180" w:type="dxa"/>
          </w:tcPr>
          <w:p w:rsidR="00711C55" w:rsidRPr="007E529B" w:rsidRDefault="007E529B" w:rsidP="00921168">
            <w:pPr>
              <w:jc w:val="center"/>
              <w:rPr>
                <w:sz w:val="22"/>
                <w:szCs w:val="22"/>
              </w:rPr>
            </w:pPr>
            <w:r w:rsidRPr="007E529B">
              <w:rPr>
                <w:sz w:val="22"/>
                <w:szCs w:val="22"/>
              </w:rPr>
              <w:t>dr. Tóth Krisztina</w:t>
            </w:r>
          </w:p>
          <w:p w:rsidR="00B524DE" w:rsidRPr="007E529B" w:rsidRDefault="00B524DE" w:rsidP="00921168">
            <w:pPr>
              <w:jc w:val="center"/>
              <w:rPr>
                <w:sz w:val="22"/>
                <w:szCs w:val="22"/>
              </w:rPr>
            </w:pPr>
            <w:r w:rsidRPr="007E529B">
              <w:rPr>
                <w:sz w:val="22"/>
                <w:szCs w:val="22"/>
              </w:rPr>
              <w:t>Jegyző</w:t>
            </w:r>
          </w:p>
        </w:tc>
      </w:tr>
    </w:tbl>
    <w:p w:rsidR="00B524DE" w:rsidRPr="00B64054" w:rsidRDefault="00B524DE" w:rsidP="00B524DE">
      <w:pPr>
        <w:rPr>
          <w:sz w:val="22"/>
          <w:szCs w:val="22"/>
          <w:highlight w:val="yellow"/>
        </w:rPr>
      </w:pPr>
    </w:p>
    <w:p w:rsidR="00B524DE" w:rsidRPr="007E529B" w:rsidRDefault="00B524DE" w:rsidP="00B524DE">
      <w:pPr>
        <w:spacing w:before="540" w:line="208" w:lineRule="auto"/>
        <w:ind w:left="72"/>
        <w:rPr>
          <w:color w:val="000000"/>
          <w:spacing w:val="-2"/>
          <w:sz w:val="22"/>
          <w:szCs w:val="22"/>
          <w:u w:val="single"/>
        </w:rPr>
      </w:pPr>
      <w:r w:rsidRPr="007E529B">
        <w:rPr>
          <w:color w:val="000000"/>
          <w:spacing w:val="-2"/>
          <w:sz w:val="22"/>
          <w:szCs w:val="22"/>
          <w:u w:val="single"/>
        </w:rPr>
        <w:t xml:space="preserve">A kivonat hiteles: </w:t>
      </w:r>
    </w:p>
    <w:p w:rsidR="00B524DE" w:rsidRPr="007E529B" w:rsidRDefault="00B524DE" w:rsidP="00B524DE">
      <w:pPr>
        <w:ind w:left="74"/>
        <w:rPr>
          <w:color w:val="000000"/>
          <w:spacing w:val="-6"/>
          <w:sz w:val="22"/>
          <w:szCs w:val="22"/>
        </w:rPr>
      </w:pPr>
    </w:p>
    <w:p w:rsidR="00B524DE" w:rsidRPr="007E529B" w:rsidRDefault="00B524DE" w:rsidP="00B524DE">
      <w:pPr>
        <w:ind w:left="74"/>
        <w:rPr>
          <w:color w:val="000000"/>
          <w:spacing w:val="-6"/>
          <w:sz w:val="22"/>
          <w:szCs w:val="22"/>
        </w:rPr>
      </w:pPr>
    </w:p>
    <w:p w:rsidR="00B524DE" w:rsidRPr="007E529B" w:rsidRDefault="00B524DE" w:rsidP="00B524DE">
      <w:pPr>
        <w:ind w:left="74"/>
        <w:rPr>
          <w:color w:val="000000"/>
          <w:spacing w:val="-6"/>
          <w:sz w:val="22"/>
          <w:szCs w:val="22"/>
        </w:rPr>
      </w:pPr>
      <w:r w:rsidRPr="007E529B">
        <w:rPr>
          <w:color w:val="000000"/>
          <w:spacing w:val="-6"/>
          <w:sz w:val="22"/>
          <w:szCs w:val="22"/>
        </w:rPr>
        <w:t>………………………………………………</w:t>
      </w:r>
    </w:p>
    <w:p w:rsidR="00B524DE" w:rsidRPr="007E529B" w:rsidRDefault="007E529B" w:rsidP="00B524DE">
      <w:pPr>
        <w:ind w:left="74"/>
        <w:rPr>
          <w:color w:val="000000"/>
          <w:spacing w:val="-6"/>
          <w:sz w:val="22"/>
          <w:szCs w:val="22"/>
        </w:rPr>
      </w:pPr>
      <w:r w:rsidRPr="007E529B">
        <w:rPr>
          <w:sz w:val="22"/>
          <w:szCs w:val="22"/>
        </w:rPr>
        <w:t>dr. Tóth Krisztina</w:t>
      </w:r>
    </w:p>
    <w:p w:rsidR="00B524DE" w:rsidRPr="007E529B" w:rsidRDefault="00B524DE" w:rsidP="00B524DE">
      <w:pPr>
        <w:ind w:left="72"/>
        <w:rPr>
          <w:color w:val="000000"/>
          <w:spacing w:val="-6"/>
          <w:sz w:val="22"/>
          <w:szCs w:val="22"/>
        </w:rPr>
      </w:pPr>
      <w:r w:rsidRPr="007E529B">
        <w:rPr>
          <w:color w:val="000000"/>
          <w:spacing w:val="-6"/>
          <w:sz w:val="22"/>
          <w:szCs w:val="22"/>
        </w:rPr>
        <w:t xml:space="preserve">2018. </w:t>
      </w:r>
      <w:r w:rsidR="007E529B" w:rsidRPr="007E529B">
        <w:rPr>
          <w:color w:val="000000"/>
          <w:spacing w:val="-6"/>
          <w:sz w:val="22"/>
          <w:szCs w:val="22"/>
        </w:rPr>
        <w:t>………………………</w:t>
      </w:r>
      <w:r w:rsidRPr="007E529B">
        <w:rPr>
          <w:color w:val="000000"/>
          <w:spacing w:val="-6"/>
          <w:sz w:val="22"/>
          <w:szCs w:val="22"/>
        </w:rPr>
        <w:t>……………</w:t>
      </w:r>
    </w:p>
    <w:p w:rsidR="00B524DE" w:rsidRPr="007E529B" w:rsidRDefault="00B524DE" w:rsidP="00B524DE">
      <w:pPr>
        <w:rPr>
          <w:sz w:val="22"/>
          <w:szCs w:val="22"/>
        </w:rPr>
      </w:pPr>
    </w:p>
    <w:p w:rsidR="005F6C3E" w:rsidRPr="00B64054" w:rsidRDefault="005F6C3E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rPr>
          <w:rFonts w:asciiTheme="minorHAnsi" w:hAnsiTheme="minorHAnsi" w:cs="Arial"/>
          <w:b/>
          <w:highlight w:val="yellow"/>
        </w:rPr>
      </w:pPr>
      <w:r w:rsidRPr="00B64054">
        <w:rPr>
          <w:rFonts w:asciiTheme="minorHAnsi" w:hAnsiTheme="minorHAnsi" w:cs="Arial"/>
          <w:b/>
          <w:highlight w:val="yellow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3C4208" w:rsidRPr="007E529B" w:rsidRDefault="00E06CBF" w:rsidP="00E06CBF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jc w:val="center"/>
        <w:rPr>
          <w:rFonts w:cs="Arial"/>
          <w:sz w:val="22"/>
          <w:szCs w:val="22"/>
        </w:rPr>
      </w:pPr>
      <w:r w:rsidRPr="007E529B">
        <w:rPr>
          <w:rFonts w:cs="Arial"/>
          <w:sz w:val="22"/>
          <w:szCs w:val="22"/>
        </w:rPr>
        <w:lastRenderedPageBreak/>
        <w:t>…………………………………………..</w:t>
      </w:r>
      <w:r w:rsidR="003C4208" w:rsidRPr="007E529B">
        <w:rPr>
          <w:rFonts w:cs="Arial"/>
          <w:sz w:val="22"/>
          <w:szCs w:val="22"/>
        </w:rPr>
        <w:t xml:space="preserve"> határozat 1 szá</w:t>
      </w:r>
      <w:r w:rsidR="003C4208" w:rsidRPr="00EB577D">
        <w:rPr>
          <w:rFonts w:cs="Arial"/>
          <w:sz w:val="22"/>
          <w:szCs w:val="22"/>
        </w:rPr>
        <w:t xml:space="preserve">mú </w:t>
      </w:r>
      <w:r w:rsidR="00DC0C3A" w:rsidRPr="00EB577D">
        <w:rPr>
          <w:rFonts w:cs="Arial"/>
          <w:sz w:val="22"/>
          <w:szCs w:val="22"/>
        </w:rPr>
        <w:t xml:space="preserve">leírási </w:t>
      </w:r>
      <w:r w:rsidR="003C4208" w:rsidRPr="00EB577D">
        <w:rPr>
          <w:rFonts w:cs="Arial"/>
          <w:sz w:val="22"/>
          <w:szCs w:val="22"/>
        </w:rPr>
        <w:t>mellékl</w:t>
      </w:r>
      <w:r w:rsidR="003C4208" w:rsidRPr="007E529B">
        <w:rPr>
          <w:rFonts w:cs="Arial"/>
          <w:sz w:val="22"/>
          <w:szCs w:val="22"/>
        </w:rPr>
        <w:t>ete</w:t>
      </w:r>
    </w:p>
    <w:p w:rsidR="003C4208" w:rsidRPr="007E529B" w:rsidRDefault="003C4208" w:rsidP="003C4208">
      <w:pPr>
        <w:spacing w:before="240" w:after="60"/>
        <w:outlineLvl w:val="1"/>
        <w:rPr>
          <w:rFonts w:cs="Arial"/>
          <w:b/>
        </w:rPr>
      </w:pPr>
    </w:p>
    <w:p w:rsidR="003C4208" w:rsidRPr="000F2B53" w:rsidRDefault="003C4208" w:rsidP="003C4208">
      <w:pPr>
        <w:keepNext/>
        <w:shd w:val="clear" w:color="auto" w:fill="C6D9F1"/>
        <w:ind w:left="69"/>
        <w:jc w:val="center"/>
        <w:outlineLvl w:val="1"/>
        <w:rPr>
          <w:rFonts w:cs="Arial"/>
          <w:b/>
          <w:sz w:val="24"/>
          <w:szCs w:val="24"/>
        </w:rPr>
      </w:pPr>
      <w:r w:rsidRPr="000F2B53">
        <w:rPr>
          <w:rFonts w:cs="Arial"/>
          <w:b/>
          <w:sz w:val="24"/>
          <w:szCs w:val="24"/>
        </w:rPr>
        <w:t>Településszerkezeti tervi leírás</w:t>
      </w:r>
    </w:p>
    <w:p w:rsidR="00E06CBF" w:rsidRPr="00B64054" w:rsidRDefault="00E06CBF" w:rsidP="003C4208">
      <w:pPr>
        <w:spacing w:line="276" w:lineRule="auto"/>
        <w:rPr>
          <w:sz w:val="22"/>
          <w:szCs w:val="22"/>
          <w:highlight w:val="yellow"/>
        </w:rPr>
      </w:pPr>
    </w:p>
    <w:p w:rsidR="003C4208" w:rsidRPr="000F2B53" w:rsidRDefault="00B64054" w:rsidP="003C4208">
      <w:pPr>
        <w:spacing w:line="276" w:lineRule="auto"/>
        <w:rPr>
          <w:sz w:val="22"/>
          <w:szCs w:val="22"/>
        </w:rPr>
      </w:pPr>
      <w:r w:rsidRPr="000F2B53">
        <w:rPr>
          <w:sz w:val="22"/>
          <w:szCs w:val="22"/>
        </w:rPr>
        <w:t>Sülysáp</w:t>
      </w:r>
      <w:r w:rsidR="003C4208" w:rsidRPr="000F2B53">
        <w:rPr>
          <w:sz w:val="22"/>
          <w:szCs w:val="22"/>
        </w:rPr>
        <w:t xml:space="preserve"> </w:t>
      </w:r>
      <w:r w:rsidRPr="000F2B53">
        <w:rPr>
          <w:sz w:val="22"/>
          <w:szCs w:val="22"/>
        </w:rPr>
        <w:t>Város</w:t>
      </w:r>
      <w:r w:rsidR="003C4208" w:rsidRPr="000F2B53">
        <w:rPr>
          <w:sz w:val="22"/>
          <w:szCs w:val="22"/>
        </w:rPr>
        <w:t xml:space="preserve"> Településszerkezeti tervét a Képviselő testület a </w:t>
      </w:r>
      <w:r w:rsidR="007E529B" w:rsidRPr="007E529B">
        <w:rPr>
          <w:sz w:val="22"/>
          <w:szCs w:val="22"/>
        </w:rPr>
        <w:t>164/2017. (X.26.)</w:t>
      </w:r>
      <w:r w:rsidR="007E529B" w:rsidRPr="000F2B53">
        <w:rPr>
          <w:sz w:val="22"/>
          <w:szCs w:val="22"/>
        </w:rPr>
        <w:t xml:space="preserve"> sz.</w:t>
      </w:r>
      <w:r w:rsidR="003C4208" w:rsidRPr="000F2B53">
        <w:rPr>
          <w:sz w:val="22"/>
          <w:szCs w:val="22"/>
        </w:rPr>
        <w:t xml:space="preserve"> Kt. önkormányzati határozattal fogadta el. A határozat mellékletét a TSZT jelű (M=1:</w:t>
      </w:r>
      <w:r w:rsidR="007E529B" w:rsidRPr="000F2B53">
        <w:rPr>
          <w:sz w:val="22"/>
          <w:szCs w:val="22"/>
        </w:rPr>
        <w:t>12</w:t>
      </w:r>
      <w:r w:rsidR="003C4208" w:rsidRPr="000F2B53">
        <w:rPr>
          <w:sz w:val="22"/>
          <w:szCs w:val="22"/>
        </w:rPr>
        <w:t>.000 méretarányú) Településszerkezeti terve képezi.</w:t>
      </w:r>
    </w:p>
    <w:p w:rsidR="007F59B2" w:rsidRPr="00B64054" w:rsidRDefault="007F59B2" w:rsidP="000F2B53">
      <w:pPr>
        <w:spacing w:line="276" w:lineRule="auto"/>
        <w:rPr>
          <w:sz w:val="22"/>
          <w:szCs w:val="22"/>
          <w:highlight w:val="yellow"/>
        </w:rPr>
      </w:pPr>
      <w:r w:rsidRPr="000F2B53">
        <w:rPr>
          <w:sz w:val="22"/>
          <w:szCs w:val="22"/>
        </w:rPr>
        <w:t>A TSZT jelen módosítása a település –TSZT</w:t>
      </w:r>
      <w:r w:rsidR="007E529B" w:rsidRPr="000F2B53">
        <w:rPr>
          <w:sz w:val="22"/>
          <w:szCs w:val="22"/>
        </w:rPr>
        <w:t xml:space="preserve"> módosítási határozat 1.)</w:t>
      </w:r>
      <w:r w:rsidRPr="000F2B53">
        <w:rPr>
          <w:sz w:val="22"/>
          <w:szCs w:val="22"/>
        </w:rPr>
        <w:t xml:space="preserve"> </w:t>
      </w:r>
      <w:r w:rsidR="00412163">
        <w:rPr>
          <w:sz w:val="22"/>
          <w:szCs w:val="22"/>
        </w:rPr>
        <w:t xml:space="preserve">és 2.) </w:t>
      </w:r>
      <w:r w:rsidRPr="000F2B53">
        <w:rPr>
          <w:sz w:val="22"/>
          <w:szCs w:val="22"/>
        </w:rPr>
        <w:t xml:space="preserve">pontjában meghatározott és vonatkozó TSZT jelű tervmellékletén ábrázolt- </w:t>
      </w:r>
      <w:r w:rsidR="00B64054" w:rsidRPr="000F2B53">
        <w:rPr>
          <w:sz w:val="22"/>
          <w:szCs w:val="22"/>
        </w:rPr>
        <w:t>Sülysáp</w:t>
      </w:r>
      <w:r w:rsidR="00921168" w:rsidRPr="000F2B53">
        <w:rPr>
          <w:sz w:val="22"/>
          <w:szCs w:val="22"/>
        </w:rPr>
        <w:t xml:space="preserve"> </w:t>
      </w:r>
      <w:r w:rsidR="007E529B" w:rsidRPr="000F2B53">
        <w:rPr>
          <w:sz w:val="22"/>
          <w:szCs w:val="22"/>
        </w:rPr>
        <w:t>–</w:t>
      </w:r>
      <w:r w:rsidR="000F2B53" w:rsidRPr="000F2B53">
        <w:rPr>
          <w:sz w:val="22"/>
          <w:szCs w:val="22"/>
        </w:rPr>
        <w:t xml:space="preserve"> tervezett </w:t>
      </w:r>
      <w:r w:rsidR="007E529B" w:rsidRPr="000F2B53">
        <w:rPr>
          <w:sz w:val="22"/>
          <w:szCs w:val="22"/>
        </w:rPr>
        <w:t>Napelempark</w:t>
      </w:r>
      <w:r w:rsidR="00921168" w:rsidRPr="000F2B53">
        <w:rPr>
          <w:sz w:val="22"/>
          <w:szCs w:val="22"/>
        </w:rPr>
        <w:t xml:space="preserve"> </w:t>
      </w:r>
      <w:r w:rsidR="007E529B" w:rsidRPr="000F2B53">
        <w:rPr>
          <w:sz w:val="22"/>
          <w:szCs w:val="22"/>
        </w:rPr>
        <w:t>terület</w:t>
      </w:r>
      <w:r w:rsidR="00921168" w:rsidRPr="000F2B53">
        <w:rPr>
          <w:sz w:val="22"/>
          <w:szCs w:val="22"/>
        </w:rPr>
        <w:t xml:space="preserve"> </w:t>
      </w:r>
      <w:r w:rsidRPr="000F2B53">
        <w:rPr>
          <w:sz w:val="22"/>
          <w:szCs w:val="22"/>
        </w:rPr>
        <w:t xml:space="preserve">beépítésre nem szánt </w:t>
      </w:r>
      <w:r w:rsidR="007E529B" w:rsidRPr="000F2B53">
        <w:rPr>
          <w:sz w:val="22"/>
          <w:szCs w:val="22"/>
        </w:rPr>
        <w:t xml:space="preserve">különleges megújuló </w:t>
      </w:r>
      <w:r w:rsidR="000F2B53">
        <w:rPr>
          <w:sz w:val="22"/>
          <w:szCs w:val="22"/>
        </w:rPr>
        <w:t xml:space="preserve">energiaforrás </w:t>
      </w:r>
      <w:r w:rsidRPr="000F2B53">
        <w:rPr>
          <w:sz w:val="22"/>
          <w:szCs w:val="22"/>
        </w:rPr>
        <w:t>hasznosításának lehetővé tétele érdekében készült.</w:t>
      </w:r>
    </w:p>
    <w:p w:rsidR="00746455" w:rsidRPr="00CF3B83" w:rsidRDefault="00746455" w:rsidP="00746455">
      <w:pPr>
        <w:spacing w:line="276" w:lineRule="auto"/>
        <w:rPr>
          <w:rFonts w:asciiTheme="minorHAnsi" w:hAnsiTheme="minorHAnsi"/>
        </w:rPr>
      </w:pPr>
    </w:p>
    <w:p w:rsidR="00746455" w:rsidRPr="00CF3B83" w:rsidRDefault="00746455" w:rsidP="00412B21">
      <w:pPr>
        <w:pStyle w:val="Cmsor1"/>
      </w:pPr>
      <w:bookmarkStart w:id="13" w:name="_Toc481057214"/>
      <w:r w:rsidRPr="00CF3B83">
        <w:t>SZERKEZETI TERV LEÍRÁSA</w:t>
      </w:r>
      <w:bookmarkEnd w:id="13"/>
    </w:p>
    <w:p w:rsidR="00746455" w:rsidRPr="00CF3B83" w:rsidRDefault="00746455" w:rsidP="00746455">
      <w:pPr>
        <w:rPr>
          <w:rFonts w:asciiTheme="minorHAnsi" w:hAnsiTheme="minorHAnsi" w:cs="Arial"/>
        </w:rPr>
      </w:pPr>
    </w:p>
    <w:p w:rsidR="00921168" w:rsidRPr="00CF3B83" w:rsidRDefault="00CB09D0" w:rsidP="00921168">
      <w:pPr>
        <w:pStyle w:val="Listaszerbekezds"/>
        <w:ind w:left="0"/>
        <w:rPr>
          <w:rFonts w:cs="Arial"/>
          <w:sz w:val="20"/>
          <w:szCs w:val="20"/>
        </w:rPr>
      </w:pPr>
      <w:r w:rsidRPr="00CF3B83">
        <w:rPr>
          <w:rFonts w:cs="Arial"/>
          <w:sz w:val="20"/>
          <w:szCs w:val="20"/>
        </w:rPr>
        <w:t xml:space="preserve">A </w:t>
      </w:r>
      <w:r w:rsidR="00921168" w:rsidRPr="00CF3B83">
        <w:rPr>
          <w:rFonts w:cs="Arial"/>
          <w:sz w:val="20"/>
          <w:szCs w:val="20"/>
        </w:rPr>
        <w:t>TELEPÜLÉSSZERKEZET</w:t>
      </w:r>
      <w:r w:rsidRPr="00CF3B83">
        <w:rPr>
          <w:rFonts w:cs="Arial"/>
          <w:sz w:val="20"/>
          <w:szCs w:val="20"/>
        </w:rPr>
        <w:t>I</w:t>
      </w:r>
      <w:r w:rsidR="00921168" w:rsidRPr="00CF3B83">
        <w:rPr>
          <w:rFonts w:cs="Arial"/>
          <w:sz w:val="20"/>
          <w:szCs w:val="20"/>
        </w:rPr>
        <w:t xml:space="preserve"> TERV MÓDOSÍTÁSA </w:t>
      </w:r>
    </w:p>
    <w:p w:rsidR="00921168" w:rsidRDefault="00921168" w:rsidP="00746455">
      <w:pPr>
        <w:rPr>
          <w:rFonts w:asciiTheme="minorHAnsi" w:hAnsiTheme="minorHAnsi" w:cs="Arial"/>
          <w:sz w:val="22"/>
          <w:szCs w:val="22"/>
        </w:rPr>
      </w:pPr>
    </w:p>
    <w:p w:rsidR="003F7FF4" w:rsidRPr="000D53A6" w:rsidRDefault="003F7FF4" w:rsidP="003F7FF4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Theme="minorHAnsi" w:hAnsiTheme="minorHAnsi"/>
          <w:color w:val="4F81BD" w:themeColor="accent1"/>
          <w:sz w:val="22"/>
          <w:szCs w:val="22"/>
        </w:rPr>
      </w:pPr>
      <w:r w:rsidRPr="000D53A6">
        <w:rPr>
          <w:rFonts w:asciiTheme="minorHAnsi" w:hAnsiTheme="minorHAnsi"/>
          <w:color w:val="4F81BD" w:themeColor="accent1"/>
          <w:sz w:val="22"/>
          <w:szCs w:val="22"/>
        </w:rPr>
        <w:t xml:space="preserve">Beépítésre szánt területek </w:t>
      </w:r>
    </w:p>
    <w:p w:rsidR="003F7FF4" w:rsidRDefault="003F7FF4" w:rsidP="00746455">
      <w:pPr>
        <w:rPr>
          <w:rFonts w:asciiTheme="minorHAnsi" w:hAnsiTheme="minorHAnsi" w:cs="Arial"/>
          <w:sz w:val="22"/>
          <w:szCs w:val="22"/>
        </w:rPr>
      </w:pPr>
    </w:p>
    <w:p w:rsidR="003F7FF4" w:rsidRDefault="003F7FF4" w:rsidP="007464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településszerkezeti tervi leírás 1.1.1. fejezetének 3. pontja a </w:t>
      </w:r>
      <w:proofErr w:type="spellStart"/>
      <w:r>
        <w:rPr>
          <w:rFonts w:asciiTheme="minorHAnsi" w:hAnsiTheme="minorHAnsi" w:cs="Arial"/>
          <w:sz w:val="22"/>
          <w:szCs w:val="22"/>
        </w:rPr>
        <w:t>Gksz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területfelhasználás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vonatkozásában az alábbiak szerint módosul:</w:t>
      </w:r>
    </w:p>
    <w:p w:rsidR="003F7FF4" w:rsidRDefault="003F7FF4" w:rsidP="00746455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1303"/>
        <w:gridCol w:w="2146"/>
      </w:tblGrid>
      <w:tr w:rsidR="003F7FF4" w:rsidRPr="00F43074" w:rsidTr="003F7FF4">
        <w:trPr>
          <w:trHeight w:val="291"/>
          <w:jc w:val="center"/>
        </w:trPr>
        <w:tc>
          <w:tcPr>
            <w:tcW w:w="3128" w:type="pct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3F7FF4" w:rsidRPr="001C39C0" w:rsidRDefault="003F7FF4" w:rsidP="003F7F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C39C0">
              <w:rPr>
                <w:rFonts w:asciiTheme="minorHAnsi" w:hAnsiTheme="minorHAnsi"/>
                <w:sz w:val="22"/>
                <w:szCs w:val="22"/>
              </w:rPr>
              <w:t>Területfelhasználási egységek</w:t>
            </w:r>
          </w:p>
        </w:tc>
        <w:tc>
          <w:tcPr>
            <w:tcW w:w="707" w:type="pct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3F7FF4" w:rsidRPr="001C39C0" w:rsidRDefault="003F7FF4" w:rsidP="003F7F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C39C0">
              <w:rPr>
                <w:rFonts w:asciiTheme="minorHAnsi" w:hAnsiTheme="minorHAnsi"/>
                <w:sz w:val="22"/>
                <w:szCs w:val="22"/>
              </w:rPr>
              <w:t>Tervi jele</w:t>
            </w:r>
          </w:p>
        </w:tc>
        <w:tc>
          <w:tcPr>
            <w:tcW w:w="1165" w:type="pct"/>
            <w:tcBorders>
              <w:top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3F7FF4" w:rsidRPr="001C39C0" w:rsidRDefault="003F7FF4" w:rsidP="003F7F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C39C0">
              <w:rPr>
                <w:rFonts w:asciiTheme="minorHAnsi" w:hAnsiTheme="minorHAnsi"/>
                <w:sz w:val="22"/>
                <w:szCs w:val="22"/>
              </w:rPr>
              <w:t>Legnagyobb</w:t>
            </w:r>
          </w:p>
          <w:p w:rsidR="003F7FF4" w:rsidRPr="001C39C0" w:rsidRDefault="003F7FF4" w:rsidP="003F7F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C39C0">
              <w:rPr>
                <w:rFonts w:asciiTheme="minorHAnsi" w:hAnsiTheme="minorHAnsi"/>
                <w:sz w:val="22"/>
                <w:szCs w:val="22"/>
              </w:rPr>
              <w:t>szintterület-sűrűség</w:t>
            </w:r>
          </w:p>
        </w:tc>
      </w:tr>
      <w:tr w:rsidR="003F7FF4" w:rsidRPr="00F43074" w:rsidTr="003F7FF4">
        <w:trPr>
          <w:trHeight w:val="292"/>
          <w:jc w:val="center"/>
        </w:trPr>
        <w:tc>
          <w:tcPr>
            <w:tcW w:w="3128" w:type="pct"/>
            <w:vAlign w:val="center"/>
          </w:tcPr>
          <w:p w:rsidR="003F7FF4" w:rsidRPr="001C39C0" w:rsidRDefault="003F7FF4" w:rsidP="003F7F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C39C0">
              <w:rPr>
                <w:rFonts w:asciiTheme="minorHAnsi" w:hAnsiTheme="minorHAnsi"/>
                <w:sz w:val="22"/>
                <w:szCs w:val="22"/>
              </w:rPr>
              <w:t>Kereskedelmi-szolgáltató gazdasági terület</w:t>
            </w:r>
          </w:p>
        </w:tc>
        <w:tc>
          <w:tcPr>
            <w:tcW w:w="707" w:type="pct"/>
            <w:vAlign w:val="center"/>
          </w:tcPr>
          <w:p w:rsidR="003F7FF4" w:rsidRPr="001C39C0" w:rsidRDefault="003F7FF4" w:rsidP="003F7F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1C39C0">
              <w:rPr>
                <w:rFonts w:asciiTheme="minorHAnsi" w:hAnsiTheme="minorHAnsi"/>
                <w:sz w:val="22"/>
                <w:szCs w:val="22"/>
              </w:rPr>
              <w:t>Gksz</w:t>
            </w:r>
            <w:proofErr w:type="spellEnd"/>
          </w:p>
        </w:tc>
        <w:tc>
          <w:tcPr>
            <w:tcW w:w="1165" w:type="pct"/>
            <w:vAlign w:val="center"/>
          </w:tcPr>
          <w:p w:rsidR="003F7FF4" w:rsidRPr="001C39C0" w:rsidRDefault="003F7FF4" w:rsidP="003F7FF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C39C0">
              <w:rPr>
                <w:rFonts w:asciiTheme="minorHAnsi" w:hAnsiTheme="minorHAnsi"/>
                <w:sz w:val="22"/>
                <w:szCs w:val="22"/>
              </w:rPr>
              <w:t>1,6</w:t>
            </w:r>
          </w:p>
        </w:tc>
      </w:tr>
    </w:tbl>
    <w:p w:rsidR="003F7FF4" w:rsidRDefault="003F7FF4" w:rsidP="00746455">
      <w:pPr>
        <w:rPr>
          <w:rFonts w:asciiTheme="minorHAnsi" w:hAnsiTheme="minorHAnsi" w:cs="Arial"/>
          <w:sz w:val="22"/>
          <w:szCs w:val="22"/>
        </w:rPr>
      </w:pPr>
    </w:p>
    <w:p w:rsidR="003F7FF4" w:rsidRPr="000D53A6" w:rsidRDefault="003F7FF4" w:rsidP="00746455">
      <w:pPr>
        <w:rPr>
          <w:rFonts w:asciiTheme="minorHAnsi" w:hAnsiTheme="minorHAnsi" w:cs="Arial"/>
          <w:sz w:val="22"/>
          <w:szCs w:val="22"/>
        </w:rPr>
      </w:pPr>
    </w:p>
    <w:p w:rsidR="00746455" w:rsidRPr="000D53A6" w:rsidRDefault="00746455" w:rsidP="00872B45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Theme="minorHAnsi" w:hAnsiTheme="minorHAnsi"/>
          <w:color w:val="4F81BD" w:themeColor="accent1"/>
          <w:sz w:val="22"/>
          <w:szCs w:val="22"/>
        </w:rPr>
      </w:pPr>
      <w:bookmarkStart w:id="14" w:name="_Toc481057218"/>
      <w:r w:rsidRPr="000D53A6">
        <w:rPr>
          <w:rFonts w:asciiTheme="minorHAnsi" w:hAnsiTheme="minorHAnsi"/>
          <w:color w:val="4F81BD" w:themeColor="accent1"/>
          <w:sz w:val="22"/>
          <w:szCs w:val="22"/>
        </w:rPr>
        <w:t xml:space="preserve">Beépítésre </w:t>
      </w:r>
      <w:bookmarkStart w:id="15" w:name="_Toc266702327"/>
      <w:r w:rsidRPr="000D53A6">
        <w:rPr>
          <w:rFonts w:asciiTheme="minorHAnsi" w:hAnsiTheme="minorHAnsi"/>
          <w:color w:val="4F81BD" w:themeColor="accent1"/>
          <w:sz w:val="22"/>
          <w:szCs w:val="22"/>
        </w:rPr>
        <w:t xml:space="preserve">nem szánt területek </w:t>
      </w:r>
      <w:bookmarkEnd w:id="14"/>
      <w:bookmarkEnd w:id="15"/>
    </w:p>
    <w:p w:rsidR="00872B45" w:rsidRPr="00CF3B83" w:rsidRDefault="00872B45" w:rsidP="00921168">
      <w:pPr>
        <w:pStyle w:val="Szvegtrz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after="60"/>
        <w:rPr>
          <w:rFonts w:ascii="Calibri" w:hAnsi="Calibri" w:cs="Arial"/>
          <w:u w:val="single"/>
        </w:rPr>
      </w:pPr>
    </w:p>
    <w:p w:rsidR="00921168" w:rsidRPr="00CF3B83" w:rsidRDefault="00921168" w:rsidP="00921168">
      <w:pPr>
        <w:pStyle w:val="Szvegtrz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after="60"/>
        <w:rPr>
          <w:rFonts w:ascii="Calibri" w:hAnsi="Calibri" w:cs="Arial"/>
          <w:sz w:val="22"/>
          <w:szCs w:val="22"/>
          <w:u w:val="single"/>
        </w:rPr>
      </w:pPr>
      <w:r w:rsidRPr="00CF3B83">
        <w:rPr>
          <w:rFonts w:ascii="Calibri" w:hAnsi="Calibri" w:cs="Arial"/>
          <w:sz w:val="22"/>
          <w:szCs w:val="22"/>
          <w:u w:val="single"/>
        </w:rPr>
        <w:t>Beépítésre nem szánt területek</w:t>
      </w:r>
    </w:p>
    <w:p w:rsidR="00921168" w:rsidRDefault="00CF3B83" w:rsidP="00CF3B83">
      <w:pPr>
        <w:pStyle w:val="Listaszerbekezds"/>
        <w:numPr>
          <w:ilvl w:val="0"/>
          <w:numId w:val="8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CF3B83">
        <w:rPr>
          <w:rFonts w:cs="Arial"/>
          <w:sz w:val="22"/>
          <w:szCs w:val="22"/>
        </w:rPr>
        <w:t>Különl</w:t>
      </w:r>
      <w:r w:rsidRPr="00EB577D">
        <w:rPr>
          <w:rFonts w:cs="Arial"/>
          <w:sz w:val="22"/>
          <w:szCs w:val="22"/>
        </w:rPr>
        <w:t>eges beépítésre nem szánt megújuló energiaforrás hasznosításának</w:t>
      </w:r>
      <w:r w:rsidR="00921168" w:rsidRPr="00EB577D">
        <w:rPr>
          <w:rFonts w:cs="Arial"/>
          <w:sz w:val="22"/>
          <w:szCs w:val="22"/>
        </w:rPr>
        <w:t xml:space="preserve"> céljából a</w:t>
      </w:r>
      <w:r w:rsidR="00D44FD5" w:rsidRPr="00EB577D">
        <w:rPr>
          <w:rFonts w:cs="Arial"/>
          <w:sz w:val="22"/>
          <w:szCs w:val="22"/>
        </w:rPr>
        <w:t xml:space="preserve"> </w:t>
      </w:r>
      <w:r w:rsidRPr="00EB577D">
        <w:rPr>
          <w:rFonts w:cs="Arial"/>
          <w:sz w:val="22"/>
          <w:szCs w:val="22"/>
        </w:rPr>
        <w:t>0431/9 hrsz.</w:t>
      </w:r>
      <w:r w:rsidR="00921168" w:rsidRPr="00EB577D">
        <w:rPr>
          <w:rFonts w:cs="Arial"/>
          <w:sz w:val="22"/>
          <w:szCs w:val="22"/>
        </w:rPr>
        <w:t xml:space="preserve"> </w:t>
      </w:r>
      <w:r w:rsidRPr="00EB577D">
        <w:rPr>
          <w:rFonts w:cs="Arial"/>
          <w:sz w:val="22"/>
          <w:szCs w:val="22"/>
        </w:rPr>
        <w:t>1,5048</w:t>
      </w:r>
      <w:r w:rsidR="00921168" w:rsidRPr="00EB577D">
        <w:rPr>
          <w:rFonts w:cs="Arial"/>
          <w:sz w:val="22"/>
          <w:szCs w:val="22"/>
        </w:rPr>
        <w:t xml:space="preserve"> ha–</w:t>
      </w:r>
      <w:proofErr w:type="spellStart"/>
      <w:r w:rsidR="00921168" w:rsidRPr="00EB577D">
        <w:rPr>
          <w:rFonts w:cs="Arial"/>
          <w:sz w:val="22"/>
          <w:szCs w:val="22"/>
        </w:rPr>
        <w:t>os</w:t>
      </w:r>
      <w:proofErr w:type="spellEnd"/>
      <w:r w:rsidR="00921168" w:rsidRPr="00EB577D">
        <w:rPr>
          <w:rFonts w:cs="Arial"/>
          <w:sz w:val="22"/>
          <w:szCs w:val="22"/>
        </w:rPr>
        <w:t xml:space="preserve"> </w:t>
      </w:r>
      <w:r w:rsidRPr="00EB577D">
        <w:rPr>
          <w:rFonts w:cs="Arial"/>
          <w:sz w:val="22"/>
          <w:szCs w:val="22"/>
        </w:rPr>
        <w:t>terület</w:t>
      </w:r>
      <w:r w:rsidR="00921168" w:rsidRPr="00EB577D">
        <w:rPr>
          <w:rFonts w:cs="Arial"/>
          <w:sz w:val="22"/>
          <w:szCs w:val="22"/>
        </w:rPr>
        <w:t xml:space="preserve"> </w:t>
      </w:r>
      <w:r w:rsidRPr="00EB577D">
        <w:rPr>
          <w:rFonts w:cs="Arial"/>
          <w:sz w:val="22"/>
          <w:szCs w:val="22"/>
        </w:rPr>
        <w:t>gazdasági erdő</w:t>
      </w:r>
      <w:r w:rsidR="00921168" w:rsidRPr="00EB577D">
        <w:rPr>
          <w:rFonts w:cs="Arial"/>
          <w:sz w:val="22"/>
          <w:szCs w:val="22"/>
        </w:rPr>
        <w:t xml:space="preserve"> (</w:t>
      </w:r>
      <w:r w:rsidRPr="00EB577D">
        <w:rPr>
          <w:rFonts w:cs="Arial"/>
          <w:sz w:val="22"/>
          <w:szCs w:val="22"/>
        </w:rPr>
        <w:t>Eg)</w:t>
      </w:r>
      <w:r w:rsidR="00921168" w:rsidRPr="00EB577D">
        <w:rPr>
          <w:rFonts w:cs="Arial"/>
          <w:sz w:val="22"/>
          <w:szCs w:val="22"/>
        </w:rPr>
        <w:t xml:space="preserve"> területfelhasználásról </w:t>
      </w:r>
      <w:r w:rsidRPr="00EB577D">
        <w:rPr>
          <w:rFonts w:cs="Arial"/>
          <w:sz w:val="22"/>
          <w:szCs w:val="22"/>
        </w:rPr>
        <w:t>beépítésre nem szánt különlege</w:t>
      </w:r>
      <w:r w:rsidRPr="00CF3B83">
        <w:rPr>
          <w:rFonts w:cs="Arial"/>
          <w:sz w:val="22"/>
          <w:szCs w:val="22"/>
        </w:rPr>
        <w:t>s</w:t>
      </w:r>
      <w:r w:rsidR="00872B45" w:rsidRPr="00CF3B83">
        <w:rPr>
          <w:rFonts w:cs="Arial"/>
          <w:sz w:val="22"/>
          <w:szCs w:val="22"/>
        </w:rPr>
        <w:t xml:space="preserve"> </w:t>
      </w:r>
      <w:r w:rsidR="00921168" w:rsidRPr="00CF3B83">
        <w:rPr>
          <w:rFonts w:cs="Arial"/>
          <w:sz w:val="22"/>
          <w:szCs w:val="22"/>
        </w:rPr>
        <w:t>(</w:t>
      </w:r>
      <w:proofErr w:type="spellStart"/>
      <w:r w:rsidR="00D44FD5" w:rsidRPr="00CF3B83">
        <w:rPr>
          <w:rFonts w:cs="Arial"/>
          <w:sz w:val="22"/>
          <w:szCs w:val="22"/>
        </w:rPr>
        <w:t>K</w:t>
      </w:r>
      <w:r w:rsidRPr="00CF3B83">
        <w:rPr>
          <w:rFonts w:cs="Arial"/>
          <w:sz w:val="22"/>
          <w:szCs w:val="22"/>
        </w:rPr>
        <w:t>k-En</w:t>
      </w:r>
      <w:proofErr w:type="spellEnd"/>
      <w:r w:rsidR="00921168" w:rsidRPr="00CF3B83">
        <w:rPr>
          <w:rFonts w:cs="Arial"/>
          <w:sz w:val="22"/>
          <w:szCs w:val="22"/>
        </w:rPr>
        <w:t xml:space="preserve">) </w:t>
      </w:r>
      <w:proofErr w:type="spellStart"/>
      <w:r w:rsidR="00921168" w:rsidRPr="00CF3B83">
        <w:rPr>
          <w:rFonts w:cs="Arial"/>
          <w:sz w:val="22"/>
          <w:szCs w:val="22"/>
        </w:rPr>
        <w:t>területfelhasználásra</w:t>
      </w:r>
      <w:proofErr w:type="spellEnd"/>
      <w:r w:rsidR="00921168" w:rsidRPr="00CF3B83">
        <w:rPr>
          <w:rFonts w:cs="Arial"/>
          <w:sz w:val="22"/>
          <w:szCs w:val="22"/>
        </w:rPr>
        <w:t xml:space="preserve"> módosul.</w:t>
      </w:r>
    </w:p>
    <w:p w:rsidR="003F7FF4" w:rsidRDefault="003F7FF4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3F7FF4" w:rsidRDefault="003F7FF4" w:rsidP="003F7F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településszerkezeti tervi leírás 1.1.1. fejezetének 5 g. pontja a különleges beépítésre nem szánt területfelhasználás vonatkozásában az alábbiak szerint módosul:</w:t>
      </w:r>
    </w:p>
    <w:p w:rsidR="003F7FF4" w:rsidRPr="003F7FF4" w:rsidRDefault="003F7FF4" w:rsidP="003F7FF4">
      <w:pPr>
        <w:rPr>
          <w:rFonts w:asciiTheme="minorHAnsi" w:hAnsiTheme="minorHAnsi" w:cs="Arial"/>
          <w:sz w:val="22"/>
          <w:szCs w:val="22"/>
        </w:rPr>
      </w:pPr>
    </w:p>
    <w:p w:rsidR="003F7FF4" w:rsidRPr="003F7FF4" w:rsidRDefault="003F7FF4" w:rsidP="003F7FF4">
      <w:pPr>
        <w:ind w:left="425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3F7FF4">
        <w:rPr>
          <w:rFonts w:asciiTheme="minorHAnsi" w:hAnsiTheme="minorHAnsi"/>
          <w:sz w:val="22"/>
          <w:szCs w:val="22"/>
        </w:rPr>
        <w:t>5.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7FF4">
        <w:rPr>
          <w:rFonts w:asciiTheme="minorHAnsi" w:hAnsiTheme="minorHAnsi"/>
          <w:sz w:val="22"/>
          <w:szCs w:val="22"/>
        </w:rPr>
        <w:t>A település igazgatási területének beépítésre nem szánt területei használatuk általános valamint sajátos jellege szerint az alábbi területfelhasználási egységekre tagolódnak:</w:t>
      </w:r>
    </w:p>
    <w:p w:rsidR="003F7FF4" w:rsidRPr="003F7FF4" w:rsidRDefault="003F7FF4" w:rsidP="003F7FF4">
      <w:pPr>
        <w:pStyle w:val="Listaszerbekezds"/>
        <w:numPr>
          <w:ilvl w:val="0"/>
          <w:numId w:val="15"/>
        </w:numPr>
        <w:rPr>
          <w:rFonts w:asciiTheme="minorHAnsi" w:hAnsiTheme="minorHAnsi"/>
          <w:b/>
          <w:i/>
          <w:sz w:val="22"/>
          <w:szCs w:val="22"/>
        </w:rPr>
      </w:pPr>
      <w:r w:rsidRPr="003F7FF4">
        <w:rPr>
          <w:rFonts w:asciiTheme="minorHAnsi" w:hAnsiTheme="minorHAnsi"/>
          <w:sz w:val="22"/>
          <w:szCs w:val="22"/>
        </w:rPr>
        <w:t>Különleges beépítésre nem szánt területek (</w:t>
      </w:r>
      <w:proofErr w:type="spellStart"/>
      <w:r w:rsidRPr="003F7FF4">
        <w:rPr>
          <w:rFonts w:asciiTheme="minorHAnsi" w:hAnsiTheme="minorHAnsi"/>
          <w:sz w:val="22"/>
          <w:szCs w:val="22"/>
        </w:rPr>
        <w:t>Kbsr</w:t>
      </w:r>
      <w:proofErr w:type="spellEnd"/>
      <w:r w:rsidRPr="003F7F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F7FF4">
        <w:rPr>
          <w:rFonts w:asciiTheme="minorHAnsi" w:hAnsiTheme="minorHAnsi"/>
          <w:sz w:val="22"/>
          <w:szCs w:val="22"/>
        </w:rPr>
        <w:t>Kb-En</w:t>
      </w:r>
      <w:proofErr w:type="spellEnd"/>
      <w:r w:rsidRPr="003F7FF4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>”</w:t>
      </w:r>
    </w:p>
    <w:p w:rsidR="003F7FF4" w:rsidRDefault="003F7FF4" w:rsidP="003F7FF4">
      <w:pPr>
        <w:rPr>
          <w:rFonts w:asciiTheme="minorHAnsi" w:hAnsiTheme="minorHAnsi" w:cs="Arial"/>
          <w:sz w:val="22"/>
          <w:szCs w:val="22"/>
        </w:rPr>
      </w:pPr>
    </w:p>
    <w:p w:rsidR="003F7FF4" w:rsidRDefault="003F7FF4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1C39C0" w:rsidRDefault="001C39C0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1C39C0" w:rsidRDefault="001C39C0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1C39C0" w:rsidRDefault="001C39C0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1C39C0" w:rsidRDefault="001C39C0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1C39C0" w:rsidRPr="00CF3B83" w:rsidRDefault="001C39C0" w:rsidP="003F7FF4">
      <w:pPr>
        <w:pStyle w:val="Listaszerbekezds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ind w:left="720"/>
        <w:contextualSpacing/>
        <w:rPr>
          <w:rFonts w:cs="Arial"/>
          <w:sz w:val="22"/>
          <w:szCs w:val="22"/>
        </w:rPr>
      </w:pPr>
    </w:p>
    <w:p w:rsidR="00872B45" w:rsidRPr="000D53A6" w:rsidRDefault="00872B45" w:rsidP="00746455">
      <w:pPr>
        <w:rPr>
          <w:rFonts w:asciiTheme="minorHAnsi" w:hAnsiTheme="minorHAnsi" w:cs="Arial"/>
          <w:sz w:val="22"/>
          <w:szCs w:val="22"/>
        </w:rPr>
      </w:pPr>
    </w:p>
    <w:p w:rsidR="00D44FD5" w:rsidRPr="000D53A6" w:rsidRDefault="00D44FD5" w:rsidP="00D44FD5">
      <w:pPr>
        <w:pStyle w:val="Cmsor2"/>
        <w:numPr>
          <w:ilvl w:val="1"/>
          <w:numId w:val="1"/>
        </w:numPr>
        <w:shd w:val="clear" w:color="auto" w:fill="C6D9F1"/>
        <w:tabs>
          <w:tab w:val="left" w:pos="425"/>
        </w:tabs>
        <w:spacing w:before="0" w:after="0"/>
        <w:rPr>
          <w:rFonts w:asciiTheme="minorHAnsi" w:hAnsiTheme="minorHAnsi"/>
          <w:sz w:val="22"/>
          <w:szCs w:val="22"/>
        </w:rPr>
      </w:pPr>
      <w:bookmarkStart w:id="16" w:name="_Toc481057232"/>
      <w:bookmarkStart w:id="17" w:name="_Toc454180254"/>
      <w:r w:rsidRPr="000D53A6">
        <w:rPr>
          <w:rFonts w:asciiTheme="minorHAnsi" w:hAnsiTheme="minorHAnsi"/>
          <w:sz w:val="22"/>
          <w:szCs w:val="22"/>
        </w:rPr>
        <w:lastRenderedPageBreak/>
        <w:t>A Környezet</w:t>
      </w:r>
      <w:r w:rsidR="00DE1A8A" w:rsidRPr="000D53A6">
        <w:rPr>
          <w:rFonts w:asciiTheme="minorHAnsi" w:hAnsiTheme="minorHAnsi"/>
          <w:sz w:val="22"/>
          <w:szCs w:val="22"/>
        </w:rPr>
        <w:t xml:space="preserve">- </w:t>
      </w:r>
      <w:r w:rsidR="00CB09D0" w:rsidRPr="000D53A6">
        <w:rPr>
          <w:rFonts w:asciiTheme="minorHAnsi" w:hAnsiTheme="minorHAnsi"/>
          <w:sz w:val="22"/>
          <w:szCs w:val="22"/>
        </w:rPr>
        <w:t xml:space="preserve">táj- </w:t>
      </w:r>
      <w:r w:rsidR="00DE1A8A" w:rsidRPr="000D53A6">
        <w:rPr>
          <w:rFonts w:asciiTheme="minorHAnsi" w:hAnsiTheme="minorHAnsi"/>
          <w:sz w:val="22"/>
          <w:szCs w:val="22"/>
        </w:rPr>
        <w:t>és természet</w:t>
      </w:r>
      <w:r w:rsidRPr="000D53A6">
        <w:rPr>
          <w:rFonts w:asciiTheme="minorHAnsi" w:hAnsiTheme="minorHAnsi"/>
          <w:sz w:val="22"/>
          <w:szCs w:val="22"/>
        </w:rPr>
        <w:t>védelem</w:t>
      </w:r>
      <w:bookmarkEnd w:id="16"/>
    </w:p>
    <w:p w:rsidR="00D44FD5" w:rsidRPr="007350D1" w:rsidRDefault="00D44FD5" w:rsidP="00D44FD5">
      <w:pPr>
        <w:pStyle w:val="Szvegtrzs"/>
        <w:spacing w:after="0" w:line="276" w:lineRule="auto"/>
        <w:ind w:left="6"/>
        <w:rPr>
          <w:rFonts w:asciiTheme="minorHAnsi" w:hAnsiTheme="minorHAnsi"/>
          <w:color w:val="17365D" w:themeColor="text2" w:themeShade="BF"/>
          <w:highlight w:val="green"/>
        </w:rPr>
      </w:pPr>
      <w:bookmarkStart w:id="18" w:name="_Hlk508280827"/>
    </w:p>
    <w:bookmarkEnd w:id="17"/>
    <w:p w:rsidR="00921168" w:rsidRPr="00EB577D" w:rsidRDefault="003F06E5" w:rsidP="001E510B">
      <w:pPr>
        <w:spacing w:line="276" w:lineRule="auto"/>
        <w:rPr>
          <w:rFonts w:cs="ArialMT"/>
          <w:sz w:val="22"/>
          <w:szCs w:val="22"/>
        </w:rPr>
      </w:pPr>
      <w:r w:rsidRPr="00EB577D">
        <w:rPr>
          <w:rFonts w:asciiTheme="minorHAnsi" w:hAnsiTheme="minorHAnsi" w:cs="Arial"/>
          <w:sz w:val="22"/>
          <w:szCs w:val="22"/>
        </w:rPr>
        <w:t xml:space="preserve">A tervezett </w:t>
      </w:r>
      <w:r w:rsidR="00DC0C3A" w:rsidRPr="00EB577D">
        <w:rPr>
          <w:rFonts w:asciiTheme="minorHAnsi" w:hAnsiTheme="minorHAnsi" w:cs="Arial"/>
          <w:sz w:val="22"/>
          <w:szCs w:val="22"/>
        </w:rPr>
        <w:t>módosítás a védett tájelemeket nem érinti,</w:t>
      </w:r>
      <w:r w:rsidR="00CB09D0" w:rsidRPr="00EB577D">
        <w:rPr>
          <w:rFonts w:cs="ArialMT"/>
          <w:sz w:val="22"/>
          <w:szCs w:val="22"/>
        </w:rPr>
        <w:t xml:space="preserve"> </w:t>
      </w:r>
      <w:r w:rsidR="002F2952" w:rsidRPr="00EB577D">
        <w:rPr>
          <w:rFonts w:cs="ArialMT"/>
          <w:sz w:val="22"/>
          <w:szCs w:val="22"/>
        </w:rPr>
        <w:t xml:space="preserve">- </w:t>
      </w:r>
      <w:r w:rsidR="00DC0C3A" w:rsidRPr="00EB577D">
        <w:rPr>
          <w:rFonts w:cs="ArialMT"/>
          <w:sz w:val="22"/>
          <w:szCs w:val="22"/>
        </w:rPr>
        <w:t>a terület Natura2000 európai közösségi jelentőségű természetvédelmi kijelölésnek, valamint az országos ökológiai hálózat ökológiai folyosó övezetének nem része</w:t>
      </w:r>
      <w:r w:rsidR="002F2952" w:rsidRPr="00EB577D">
        <w:rPr>
          <w:rFonts w:cs="ArialMT"/>
          <w:sz w:val="22"/>
          <w:szCs w:val="22"/>
        </w:rPr>
        <w:t>, egyéb természetvédelmi területet sem érint.</w:t>
      </w:r>
      <w:r w:rsidR="00DC0C3A" w:rsidRPr="00EB577D">
        <w:rPr>
          <w:rFonts w:cs="ArialMT"/>
          <w:sz w:val="22"/>
          <w:szCs w:val="22"/>
        </w:rPr>
        <w:t xml:space="preserve"> </w:t>
      </w:r>
      <w:r w:rsidR="002F2952" w:rsidRPr="00EB577D">
        <w:rPr>
          <w:rFonts w:cs="ArialMT"/>
          <w:sz w:val="22"/>
          <w:szCs w:val="22"/>
        </w:rPr>
        <w:t>Tájképvédelmi szempontból is megfelelő az elhelyezkedése, tájképi szempontból érzékeny területre, védendő táj- és településképi látványra, feltárulásra nincs hatással.</w:t>
      </w:r>
    </w:p>
    <w:p w:rsidR="00F00945" w:rsidRPr="00EB577D" w:rsidRDefault="00542F8A" w:rsidP="001E510B">
      <w:pPr>
        <w:spacing w:before="120" w:line="276" w:lineRule="auto"/>
        <w:rPr>
          <w:sz w:val="22"/>
          <w:szCs w:val="22"/>
        </w:rPr>
      </w:pPr>
      <w:r w:rsidRPr="00EB577D">
        <w:rPr>
          <w:rFonts w:asciiTheme="minorHAnsi" w:hAnsiTheme="minorHAnsi" w:cs="Arial"/>
          <w:sz w:val="22"/>
          <w:szCs w:val="22"/>
        </w:rPr>
        <w:t>A</w:t>
      </w:r>
      <w:r w:rsidR="00DC0C3A" w:rsidRPr="00EB577D">
        <w:rPr>
          <w:rFonts w:asciiTheme="minorHAnsi" w:hAnsiTheme="minorHAnsi" w:cs="Arial"/>
          <w:sz w:val="22"/>
          <w:szCs w:val="22"/>
        </w:rPr>
        <w:t xml:space="preserve"> </w:t>
      </w:r>
      <w:r w:rsidR="001E510B" w:rsidRPr="00EB577D">
        <w:rPr>
          <w:rFonts w:asciiTheme="minorHAnsi" w:hAnsiTheme="minorHAnsi" w:cs="Arial"/>
          <w:sz w:val="22"/>
          <w:szCs w:val="22"/>
        </w:rPr>
        <w:t xml:space="preserve">tervezett napelem – parki </w:t>
      </w:r>
      <w:r w:rsidR="00DC0C3A" w:rsidRPr="00EB577D">
        <w:rPr>
          <w:rFonts w:asciiTheme="minorHAnsi" w:hAnsiTheme="minorHAnsi" w:cs="Arial"/>
          <w:sz w:val="22"/>
          <w:szCs w:val="22"/>
        </w:rPr>
        <w:t>beruházás alapvetően környezetvédelmi célokat, a megújuló energiaforrások hasznosítását szolgálja. Egyedüli negatív környezeti hatása az elkerülhetetlen területigénybevétel, amely természeti állapotában mezőgazdasági termőföld, tervezett állapota szerint gazdasági célú erdőterület</w:t>
      </w:r>
      <w:r w:rsidR="00F00945" w:rsidRPr="00EB577D">
        <w:rPr>
          <w:sz w:val="22"/>
          <w:szCs w:val="22"/>
        </w:rPr>
        <w:t>.</w:t>
      </w:r>
      <w:r w:rsidR="00DC0C3A" w:rsidRPr="00EB577D">
        <w:rPr>
          <w:sz w:val="22"/>
          <w:szCs w:val="22"/>
        </w:rPr>
        <w:t xml:space="preserve"> Mivel a kijelölés szerinti erdősítést még nem kezdeményezték, az igénybevétel való</w:t>
      </w:r>
      <w:r w:rsidR="001E510B" w:rsidRPr="00EB577D">
        <w:rPr>
          <w:sz w:val="22"/>
          <w:szCs w:val="22"/>
        </w:rPr>
        <w:t>s</w:t>
      </w:r>
      <w:r w:rsidR="00DC0C3A" w:rsidRPr="00EB577D">
        <w:rPr>
          <w:sz w:val="22"/>
          <w:szCs w:val="22"/>
        </w:rPr>
        <w:t xml:space="preserve"> erdőterületi csökkenéssel nem jár.</w:t>
      </w:r>
    </w:p>
    <w:p w:rsidR="00542F8A" w:rsidRPr="00EB577D" w:rsidRDefault="002F2952" w:rsidP="001E510B">
      <w:pPr>
        <w:spacing w:line="276" w:lineRule="auto"/>
        <w:rPr>
          <w:rFonts w:asciiTheme="minorHAnsi" w:hAnsiTheme="minorHAnsi" w:cs="Arial"/>
          <w:sz w:val="22"/>
          <w:szCs w:val="22"/>
          <w:highlight w:val="green"/>
        </w:rPr>
      </w:pPr>
      <w:r w:rsidRPr="00EB577D">
        <w:rPr>
          <w:rFonts w:cs="ArialMT"/>
          <w:sz w:val="22"/>
          <w:szCs w:val="22"/>
        </w:rPr>
        <w:t xml:space="preserve">Összességében megállapítható, hogy </w:t>
      </w:r>
      <w:r w:rsidR="001E510B" w:rsidRPr="00EB577D">
        <w:rPr>
          <w:rFonts w:cs="ArialMT"/>
          <w:sz w:val="22"/>
          <w:szCs w:val="22"/>
        </w:rPr>
        <w:t xml:space="preserve">jelentős </w:t>
      </w:r>
      <w:r w:rsidRPr="00EB577D">
        <w:rPr>
          <w:rFonts w:cs="ArialMT"/>
          <w:sz w:val="22"/>
          <w:szCs w:val="22"/>
        </w:rPr>
        <w:t>negatív hatás</w:t>
      </w:r>
      <w:r w:rsidR="001E510B" w:rsidRPr="00EB577D">
        <w:rPr>
          <w:rFonts w:cs="ArialMT"/>
          <w:sz w:val="22"/>
          <w:szCs w:val="22"/>
        </w:rPr>
        <w:t>ok</w:t>
      </w:r>
      <w:r w:rsidRPr="00EB577D">
        <w:rPr>
          <w:rFonts w:cs="ArialMT"/>
          <w:sz w:val="22"/>
          <w:szCs w:val="22"/>
        </w:rPr>
        <w:t xml:space="preserve"> nem várható</w:t>
      </w:r>
      <w:r w:rsidR="001E510B" w:rsidRPr="00EB577D">
        <w:rPr>
          <w:rFonts w:cs="ArialMT"/>
          <w:sz w:val="22"/>
          <w:szCs w:val="22"/>
        </w:rPr>
        <w:t>k</w:t>
      </w:r>
      <w:r w:rsidRPr="00EB577D">
        <w:rPr>
          <w:rFonts w:cs="ArialMT"/>
          <w:sz w:val="22"/>
          <w:szCs w:val="22"/>
        </w:rPr>
        <w:t xml:space="preserve"> a táji- természeti környezetben a mű megvalósulása esetén, környezet- táj- és természetvédelmi szempontból a </w:t>
      </w:r>
      <w:r w:rsidR="001E510B" w:rsidRPr="00EB577D">
        <w:rPr>
          <w:rFonts w:cs="ArialMT"/>
          <w:sz w:val="22"/>
          <w:szCs w:val="22"/>
        </w:rPr>
        <w:t>n</w:t>
      </w:r>
      <w:r w:rsidRPr="00EB577D">
        <w:rPr>
          <w:rFonts w:cs="ArialMT"/>
          <w:sz w:val="22"/>
          <w:szCs w:val="22"/>
        </w:rPr>
        <w:t>apelem-park telepítése, illetve az ehhez szükséges területfelhasználási módosítás elfogadható.</w:t>
      </w:r>
    </w:p>
    <w:p w:rsidR="00542F8A" w:rsidRPr="00EB577D" w:rsidRDefault="00542F8A" w:rsidP="001E510B">
      <w:pPr>
        <w:spacing w:line="276" w:lineRule="auto"/>
        <w:rPr>
          <w:sz w:val="22"/>
          <w:szCs w:val="22"/>
        </w:rPr>
      </w:pPr>
      <w:r w:rsidRPr="00EB577D">
        <w:rPr>
          <w:sz w:val="22"/>
          <w:szCs w:val="22"/>
        </w:rPr>
        <w:t xml:space="preserve">Mivel új beépítésre szánt terület kijelölése nem történik, ezért </w:t>
      </w:r>
      <w:r w:rsidR="00AB1865" w:rsidRPr="00EB577D">
        <w:rPr>
          <w:sz w:val="22"/>
          <w:szCs w:val="22"/>
        </w:rPr>
        <w:t xml:space="preserve">formális </w:t>
      </w:r>
      <w:r w:rsidRPr="00EB577D">
        <w:rPr>
          <w:sz w:val="22"/>
          <w:szCs w:val="22"/>
        </w:rPr>
        <w:t xml:space="preserve">biológiai aktivitásérték </w:t>
      </w:r>
      <w:r w:rsidR="00F00945" w:rsidRPr="00EB577D">
        <w:rPr>
          <w:sz w:val="22"/>
          <w:szCs w:val="22"/>
        </w:rPr>
        <w:t>számít</w:t>
      </w:r>
      <w:r w:rsidRPr="00EB577D">
        <w:rPr>
          <w:sz w:val="22"/>
          <w:szCs w:val="22"/>
        </w:rPr>
        <w:t xml:space="preserve">ás nem szükséges. </w:t>
      </w:r>
      <w:r w:rsidR="00AB1865" w:rsidRPr="00EB577D">
        <w:rPr>
          <w:sz w:val="22"/>
          <w:szCs w:val="22"/>
        </w:rPr>
        <w:t xml:space="preserve">A terület </w:t>
      </w:r>
      <w:r w:rsidR="002F2952" w:rsidRPr="00EB577D">
        <w:rPr>
          <w:sz w:val="22"/>
          <w:szCs w:val="22"/>
        </w:rPr>
        <w:t>jelenlegihez</w:t>
      </w:r>
      <w:r w:rsidR="00AB1865" w:rsidRPr="00EB577D">
        <w:rPr>
          <w:sz w:val="22"/>
          <w:szCs w:val="22"/>
        </w:rPr>
        <w:t xml:space="preserve"> </w:t>
      </w:r>
      <w:r w:rsidR="001E510B" w:rsidRPr="00EB577D">
        <w:rPr>
          <w:sz w:val="22"/>
          <w:szCs w:val="22"/>
        </w:rPr>
        <w:t xml:space="preserve">hasonló </w:t>
      </w:r>
      <w:r w:rsidR="00AB1865" w:rsidRPr="00EB577D">
        <w:rPr>
          <w:sz w:val="22"/>
          <w:szCs w:val="22"/>
        </w:rPr>
        <w:t>biológiai aktivitás</w:t>
      </w:r>
      <w:r w:rsidR="002F2952" w:rsidRPr="00EB577D">
        <w:rPr>
          <w:sz w:val="22"/>
          <w:szCs w:val="22"/>
        </w:rPr>
        <w:t>i jellemzőinek</w:t>
      </w:r>
      <w:r w:rsidR="00AB1865" w:rsidRPr="00EB577D">
        <w:rPr>
          <w:sz w:val="22"/>
          <w:szCs w:val="22"/>
        </w:rPr>
        <w:t xml:space="preserve"> valós fenntartását </w:t>
      </w:r>
      <w:r w:rsidR="002F2952" w:rsidRPr="00EB577D">
        <w:rPr>
          <w:sz w:val="22"/>
          <w:szCs w:val="22"/>
        </w:rPr>
        <w:t>a</w:t>
      </w:r>
      <w:r w:rsidR="00C737AD" w:rsidRPr="00EB577D">
        <w:rPr>
          <w:sz w:val="22"/>
          <w:szCs w:val="22"/>
        </w:rPr>
        <w:t xml:space="preserve"> telek,</w:t>
      </w:r>
      <w:r w:rsidR="002F2952" w:rsidRPr="00EB577D">
        <w:rPr>
          <w:sz w:val="22"/>
          <w:szCs w:val="22"/>
        </w:rPr>
        <w:t xml:space="preserve"> ilyen létesítményeknél szokásos</w:t>
      </w:r>
      <w:r w:rsidR="00C737AD" w:rsidRPr="00EB577D">
        <w:rPr>
          <w:sz w:val="22"/>
          <w:szCs w:val="22"/>
        </w:rPr>
        <w:t xml:space="preserve"> zöldfelületi kialakítása, extenzív gyepesítése</w:t>
      </w:r>
      <w:r w:rsidR="001E510B" w:rsidRPr="00EB577D">
        <w:rPr>
          <w:sz w:val="22"/>
          <w:szCs w:val="22"/>
        </w:rPr>
        <w:t>, a telekhatáron és az erre alkalmas belső területeken javasolható alacsony cserje telepítés</w:t>
      </w:r>
      <w:r w:rsidR="00C737AD" w:rsidRPr="00EB577D">
        <w:rPr>
          <w:sz w:val="22"/>
          <w:szCs w:val="22"/>
        </w:rPr>
        <w:t xml:space="preserve"> szolgálja</w:t>
      </w:r>
      <w:r w:rsidR="00D261AE" w:rsidRPr="00EB577D">
        <w:rPr>
          <w:sz w:val="22"/>
          <w:szCs w:val="22"/>
        </w:rPr>
        <w:t xml:space="preserve"> (A fásítás lehetőségei korlátozottak a nemkívánatos árnyékoló hatások elkerülése érdekében. Fatelepítés elsősorban csak a telek északias kitettségű oldalain javasolható)</w:t>
      </w:r>
      <w:r w:rsidR="00C737AD" w:rsidRPr="00EB577D">
        <w:rPr>
          <w:sz w:val="22"/>
          <w:szCs w:val="22"/>
        </w:rPr>
        <w:t xml:space="preserve">. Erre a tervezett kialakítás, a területfelhasználási váltáshoz kapcsolódó szabályozás </w:t>
      </w:r>
      <w:r w:rsidR="00BC3D2F" w:rsidRPr="00EB577D">
        <w:rPr>
          <w:sz w:val="22"/>
          <w:szCs w:val="22"/>
        </w:rPr>
        <w:t>–</w:t>
      </w:r>
      <w:r w:rsidR="00C737AD" w:rsidRPr="00EB577D">
        <w:rPr>
          <w:sz w:val="22"/>
          <w:szCs w:val="22"/>
        </w:rPr>
        <w:t xml:space="preserve"> </w:t>
      </w:r>
      <w:r w:rsidR="00BC3D2F" w:rsidRPr="00EB577D">
        <w:rPr>
          <w:sz w:val="22"/>
          <w:szCs w:val="22"/>
        </w:rPr>
        <w:t xml:space="preserve">a beépítésre nem szánt területen min. 65%-os zöldfelületi fedettség biztosítása </w:t>
      </w:r>
      <w:r w:rsidR="00C737AD" w:rsidRPr="00EB577D">
        <w:rPr>
          <w:sz w:val="22"/>
          <w:szCs w:val="22"/>
        </w:rPr>
        <w:t>- is lehetőséget ad.</w:t>
      </w:r>
    </w:p>
    <w:bookmarkEnd w:id="18"/>
    <w:p w:rsidR="000D53A6" w:rsidRPr="002F2952" w:rsidRDefault="000D53A6" w:rsidP="001E510B">
      <w:pPr>
        <w:spacing w:line="276" w:lineRule="auto"/>
        <w:rPr>
          <w:color w:val="365F91" w:themeColor="accent1" w:themeShade="BF"/>
          <w:sz w:val="22"/>
          <w:szCs w:val="22"/>
        </w:rPr>
      </w:pPr>
    </w:p>
    <w:p w:rsidR="00921168" w:rsidRPr="00CF3B83" w:rsidRDefault="00921168" w:rsidP="00412B21">
      <w:pPr>
        <w:pStyle w:val="Cmsor1"/>
      </w:pPr>
      <w:bookmarkStart w:id="19" w:name="_Toc481057239"/>
      <w:r w:rsidRPr="00CF3B83">
        <w:t>VÁLTOZÁSOK (BEAVATKOZÁSOK, ÁTSOROLÁSOK)</w:t>
      </w:r>
      <w:bookmarkEnd w:id="19"/>
    </w:p>
    <w:p w:rsidR="00921168" w:rsidRPr="00CF3B83" w:rsidRDefault="00921168" w:rsidP="00921168">
      <w:pPr>
        <w:rPr>
          <w:rFonts w:cs="Arial"/>
        </w:rPr>
      </w:pPr>
      <w:bookmarkStart w:id="20" w:name="_Toc210458667"/>
      <w:bookmarkStart w:id="21" w:name="_Toc217103303"/>
      <w:bookmarkStart w:id="22" w:name="_Toc266702316"/>
    </w:p>
    <w:p w:rsidR="00921168" w:rsidRPr="000D53A6" w:rsidRDefault="00921168" w:rsidP="00921168">
      <w:pPr>
        <w:pStyle w:val="Cmsor2"/>
        <w:numPr>
          <w:ilvl w:val="0"/>
          <w:numId w:val="0"/>
        </w:numPr>
        <w:shd w:val="clear" w:color="auto" w:fill="C6D9F1"/>
        <w:spacing w:before="0" w:after="0"/>
        <w:rPr>
          <w:rFonts w:ascii="Calibri" w:hAnsi="Calibri"/>
          <w:sz w:val="22"/>
          <w:szCs w:val="22"/>
        </w:rPr>
      </w:pPr>
      <w:bookmarkStart w:id="23" w:name="_Toc481057240"/>
      <w:r w:rsidRPr="00CF3B83">
        <w:rPr>
          <w:rFonts w:ascii="Calibri" w:hAnsi="Calibri"/>
        </w:rPr>
        <w:t>2</w:t>
      </w:r>
      <w:r w:rsidRPr="000D53A6">
        <w:rPr>
          <w:rFonts w:ascii="Calibri" w:hAnsi="Calibri"/>
          <w:sz w:val="22"/>
          <w:szCs w:val="22"/>
        </w:rPr>
        <w:t>.1. Területfelhasználási változások adatai és mutató</w:t>
      </w:r>
      <w:bookmarkEnd w:id="20"/>
      <w:bookmarkEnd w:id="21"/>
      <w:bookmarkEnd w:id="22"/>
      <w:r w:rsidRPr="000D53A6">
        <w:rPr>
          <w:rFonts w:ascii="Calibri" w:hAnsi="Calibri"/>
          <w:sz w:val="22"/>
          <w:szCs w:val="22"/>
        </w:rPr>
        <w:t>i</w:t>
      </w:r>
      <w:bookmarkEnd w:id="23"/>
    </w:p>
    <w:p w:rsidR="00872B45" w:rsidRDefault="00872B45" w:rsidP="00872B45">
      <w:pPr>
        <w:rPr>
          <w:rFonts w:cs="Arial"/>
          <w:b/>
          <w:iCs/>
          <w:sz w:val="22"/>
          <w:szCs w:val="22"/>
        </w:rPr>
      </w:pPr>
      <w:bookmarkStart w:id="24" w:name="_Toc481057241"/>
    </w:p>
    <w:tbl>
      <w:tblPr>
        <w:tblW w:w="9263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626"/>
        <w:gridCol w:w="12"/>
        <w:gridCol w:w="953"/>
        <w:gridCol w:w="936"/>
        <w:gridCol w:w="1444"/>
        <w:gridCol w:w="2083"/>
        <w:gridCol w:w="2209"/>
      </w:tblGrid>
      <w:tr w:rsidR="00AF7625" w:rsidRPr="009F1E74" w:rsidTr="00C737AD">
        <w:trPr>
          <w:jc w:val="center"/>
        </w:trPr>
        <w:tc>
          <w:tcPr>
            <w:tcW w:w="9263" w:type="dxa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59195F" w:rsidRDefault="00AF7625" w:rsidP="00C737AD">
            <w:pPr>
              <w:tabs>
                <w:tab w:val="left" w:pos="8789"/>
              </w:tabs>
              <w:jc w:val="center"/>
              <w:rPr>
                <w:rFonts w:cs="Arial"/>
              </w:rPr>
            </w:pPr>
            <w:r w:rsidRPr="0059195F">
              <w:rPr>
                <w:rFonts w:cs="Arial"/>
                <w:b/>
                <w:bCs/>
              </w:rPr>
              <w:t>TELEPÜLÉSSZERKEZETI TERVI MÓDOSÍTÁST IGÉNYLŐ TERÜLETEK</w:t>
            </w:r>
          </w:p>
        </w:tc>
      </w:tr>
      <w:tr w:rsidR="00AF7625" w:rsidRPr="009F1E74" w:rsidTr="00C737AD">
        <w:trPr>
          <w:trHeight w:val="283"/>
          <w:jc w:val="center"/>
        </w:trPr>
        <w:tc>
          <w:tcPr>
            <w:tcW w:w="16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59195F" w:rsidRDefault="00AF7625" w:rsidP="00C737AD">
            <w:pPr>
              <w:tabs>
                <w:tab w:val="left" w:pos="8789"/>
              </w:tabs>
              <w:contextualSpacing/>
              <w:rPr>
                <w:rFonts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sorszám</w:t>
            </w:r>
          </w:p>
        </w:tc>
        <w:tc>
          <w:tcPr>
            <w:tcW w:w="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Terület</w:t>
            </w:r>
          </w:p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ha</w:t>
            </w:r>
          </w:p>
        </w:tc>
        <w:tc>
          <w:tcPr>
            <w:tcW w:w="14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Helyrajzi szám hrsz.</w:t>
            </w:r>
          </w:p>
        </w:tc>
        <w:tc>
          <w:tcPr>
            <w:tcW w:w="4292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6D9F1" w:themeFill="text2" w:themeFillTint="33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TSZT Terület-felhasználás módosítás</w:t>
            </w:r>
          </w:p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hatályos                  tervezett</w:t>
            </w:r>
          </w:p>
        </w:tc>
      </w:tr>
      <w:tr w:rsidR="00AF7625" w:rsidRPr="009F1E74" w:rsidTr="00C737AD">
        <w:trPr>
          <w:trHeight w:val="283"/>
          <w:jc w:val="center"/>
        </w:trPr>
        <w:tc>
          <w:tcPr>
            <w:tcW w:w="1638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tabs>
                <w:tab w:val="left" w:pos="8789"/>
              </w:tabs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195F">
              <w:rPr>
                <w:rFonts w:cs="Arial"/>
                <w:b/>
                <w:bCs/>
                <w:sz w:val="18"/>
                <w:szCs w:val="18"/>
              </w:rPr>
              <w:t>4. Beépítésre nem szánt területen belüli területfelhasználás változások.</w:t>
            </w:r>
          </w:p>
        </w:tc>
        <w:tc>
          <w:tcPr>
            <w:tcW w:w="95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59195F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59195F" w:rsidRDefault="00AF7625" w:rsidP="00C737AD">
            <w:pPr>
              <w:jc w:val="center"/>
              <w:rPr>
                <w:i/>
                <w:sz w:val="18"/>
                <w:szCs w:val="18"/>
              </w:rPr>
            </w:pPr>
            <w:r w:rsidRPr="0059195F">
              <w:rPr>
                <w:rFonts w:cs="Arial"/>
                <w:sz w:val="18"/>
                <w:szCs w:val="18"/>
                <w:shd w:val="clear" w:color="auto" w:fill="FFFFFF"/>
              </w:rPr>
              <w:t>1,5048</w:t>
            </w:r>
          </w:p>
        </w:tc>
        <w:tc>
          <w:tcPr>
            <w:tcW w:w="144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59195F" w:rsidRDefault="00AF7625" w:rsidP="00C737AD">
            <w:pPr>
              <w:jc w:val="center"/>
              <w:rPr>
                <w:rFonts w:cs="Arial"/>
                <w:sz w:val="18"/>
                <w:szCs w:val="18"/>
              </w:rPr>
            </w:pPr>
            <w:r w:rsidRPr="0059195F">
              <w:rPr>
                <w:rFonts w:cs="Arial"/>
                <w:sz w:val="18"/>
                <w:szCs w:val="18"/>
                <w:shd w:val="clear" w:color="auto" w:fill="FFFFFF"/>
              </w:rPr>
              <w:t>0431/9</w:t>
            </w:r>
          </w:p>
        </w:tc>
        <w:tc>
          <w:tcPr>
            <w:tcW w:w="208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59195F" w:rsidRDefault="00AF7625" w:rsidP="00C737AD">
            <w:pPr>
              <w:jc w:val="center"/>
              <w:rPr>
                <w:rFonts w:cs="Arial"/>
                <w:sz w:val="18"/>
                <w:szCs w:val="18"/>
              </w:rPr>
            </w:pPr>
            <w:r w:rsidRPr="0059195F">
              <w:rPr>
                <w:rFonts w:cs="Arial"/>
                <w:sz w:val="18"/>
                <w:szCs w:val="18"/>
              </w:rPr>
              <w:t>Eg gazdasági erdő terület</w:t>
            </w:r>
          </w:p>
        </w:tc>
        <w:tc>
          <w:tcPr>
            <w:tcW w:w="22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F7625" w:rsidRPr="0059195F" w:rsidRDefault="00AF7625" w:rsidP="00C737AD">
            <w:pPr>
              <w:jc w:val="center"/>
              <w:rPr>
                <w:rFonts w:cs="Arial"/>
                <w:sz w:val="18"/>
                <w:szCs w:val="18"/>
              </w:rPr>
            </w:pPr>
            <w:r w:rsidRPr="0059195F">
              <w:rPr>
                <w:rFonts w:cs="Arial"/>
                <w:sz w:val="18"/>
                <w:szCs w:val="18"/>
              </w:rPr>
              <w:t xml:space="preserve">Kb-En </w:t>
            </w:r>
          </w:p>
          <w:p w:rsidR="00AF7625" w:rsidRPr="0059195F" w:rsidRDefault="00AF7625" w:rsidP="00C737AD">
            <w:pPr>
              <w:jc w:val="center"/>
              <w:rPr>
                <w:rFonts w:cs="Arial"/>
                <w:sz w:val="18"/>
                <w:szCs w:val="18"/>
              </w:rPr>
            </w:pPr>
            <w:r w:rsidRPr="0059195F">
              <w:rPr>
                <w:rFonts w:cs="Arial"/>
                <w:sz w:val="18"/>
                <w:szCs w:val="18"/>
              </w:rPr>
              <w:t>beépítésre nem szánt különleges terület</w:t>
            </w:r>
          </w:p>
        </w:tc>
      </w:tr>
      <w:tr w:rsidR="00AF7625" w:rsidRPr="009F1E74" w:rsidTr="00C737AD">
        <w:trPr>
          <w:trHeight w:val="283"/>
          <w:jc w:val="center"/>
        </w:trPr>
        <w:tc>
          <w:tcPr>
            <w:tcW w:w="1638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contextualSpacing/>
              <w:rPr>
                <w:rFonts w:cs="Arial"/>
                <w:b/>
                <w:bCs/>
              </w:rPr>
            </w:pPr>
            <w:r w:rsidRPr="0059195F">
              <w:rPr>
                <w:rFonts w:cs="Arial"/>
                <w:b/>
                <w:bCs/>
              </w:rPr>
              <w:t>Összesen:</w:t>
            </w:r>
          </w:p>
        </w:tc>
        <w:tc>
          <w:tcPr>
            <w:tcW w:w="95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9195F">
              <w:rPr>
                <w:rFonts w:cs="Arial"/>
                <w:b/>
                <w:bCs/>
                <w:sz w:val="18"/>
                <w:szCs w:val="18"/>
              </w:rPr>
              <w:t>1,5048</w:t>
            </w:r>
          </w:p>
        </w:tc>
        <w:tc>
          <w:tcPr>
            <w:tcW w:w="144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6D9F1" w:themeFill="text2" w:themeFillTint="33"/>
            <w:vAlign w:val="center"/>
          </w:tcPr>
          <w:p w:rsidR="00AF7625" w:rsidRPr="0059195F" w:rsidRDefault="00AF7625" w:rsidP="00C737AD">
            <w:pPr>
              <w:contextualSpacing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AF7625" w:rsidRPr="009F1E74" w:rsidRDefault="00AF7625" w:rsidP="00AF7625">
      <w:pPr>
        <w:rPr>
          <w:highlight w:val="yellow"/>
        </w:rPr>
      </w:pPr>
    </w:p>
    <w:p w:rsidR="00AF7625" w:rsidRDefault="00AF7625" w:rsidP="00AF7625">
      <w:r w:rsidRPr="0059195F">
        <w:t xml:space="preserve">Mivel új beépítésre szánt terület kijelölése nem történik, ezért biológiai aktivitásérték pótlása nem szükséges. </w:t>
      </w:r>
    </w:p>
    <w:p w:rsidR="00AF7625" w:rsidRPr="0059195F" w:rsidRDefault="00AF7625" w:rsidP="00AF7625"/>
    <w:p w:rsidR="00EB577D" w:rsidRDefault="00EB577D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1168" w:rsidRPr="00AF7625" w:rsidRDefault="00921168" w:rsidP="00AF7625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jc w:val="center"/>
        <w:rPr>
          <w:b/>
          <w:sz w:val="24"/>
          <w:szCs w:val="24"/>
        </w:rPr>
      </w:pPr>
      <w:r w:rsidRPr="00AF7625">
        <w:rPr>
          <w:b/>
          <w:sz w:val="24"/>
          <w:szCs w:val="24"/>
        </w:rPr>
        <w:lastRenderedPageBreak/>
        <w:t>A TELEPÜLÉS TERÜLETI MÉRLEGE</w:t>
      </w:r>
      <w:bookmarkEnd w:id="24"/>
      <w:r w:rsidRPr="00AF7625">
        <w:rPr>
          <w:b/>
          <w:sz w:val="24"/>
          <w:szCs w:val="24"/>
        </w:rPr>
        <w:t xml:space="preserve"> (Településszerkezeti terv alapján)</w:t>
      </w:r>
    </w:p>
    <w:p w:rsidR="00AF7625" w:rsidRPr="00F43074" w:rsidRDefault="00AF7625" w:rsidP="00AF7625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417"/>
        <w:gridCol w:w="1418"/>
        <w:gridCol w:w="1417"/>
      </w:tblGrid>
      <w:tr w:rsidR="00AF7625" w:rsidRPr="00AF7625" w:rsidTr="00C737AD">
        <w:tc>
          <w:tcPr>
            <w:tcW w:w="2518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b/>
              </w:rPr>
              <w:t>Területfelhasználás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b/>
              </w:rPr>
              <w:t>2010. évi TSZT ter.felhaszn. (ha)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</w:rPr>
            </w:pPr>
            <w:r w:rsidRPr="00AF7625">
              <w:rPr>
                <w:rFonts w:asciiTheme="minorHAnsi" w:hAnsiTheme="minorHAnsi"/>
                <w:b/>
              </w:rPr>
              <w:t xml:space="preserve">2017. évi módosítás változásai </w:t>
            </w:r>
          </w:p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b/>
              </w:rPr>
              <w:t>(ha)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b/>
              </w:rPr>
              <w:t>2017. évi TSZT ter.felhaszn. (ha)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</w:rPr>
            </w:pPr>
            <w:r w:rsidRPr="00AF7625">
              <w:rPr>
                <w:rFonts w:asciiTheme="minorHAnsi" w:hAnsiTheme="minorHAnsi"/>
                <w:b/>
              </w:rPr>
              <w:t xml:space="preserve">2018. évi módosítás változásai </w:t>
            </w:r>
          </w:p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b/>
              </w:rPr>
              <w:t>(ha)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b/>
              </w:rPr>
              <w:t>2018. évi TSZT ter.felhaszn. (ha)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Kisvárosias lakóterület (Lk)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13,52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+6,75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20,27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20,27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Kertvárosias lakóterület (Lke)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+13,48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13,48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13,48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Falusias lakóterület</w:t>
            </w:r>
          </w:p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(Lf)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-23,2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505,8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505,8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Településközpont terület (Vt)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-0,05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59,65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59,65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  <w:r w:rsidRPr="00AF7625">
              <w:rPr>
                <w:rFonts w:asciiTheme="minorHAnsi" w:hAnsiTheme="minorHAnsi"/>
              </w:rPr>
              <w:t>Kereskedelmi-szolgáltató gazdasági terület (Gksz)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-28,34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27,9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27,9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Ipari gazdasági terület (Gip)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113,44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+6,0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119,44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119,44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Különleges beépítésre szánt területek (K)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22,44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+30,45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52,89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52,89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Zöldterületek (közpark) (Zkp, Zkk)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16,57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+3,47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20,04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20,04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Védelmi erdőterületek (Ev)**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419,34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+25,66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445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445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Gazdasági erdőterületek (Eg)**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478,52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+24,88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503,4</w:t>
            </w:r>
          </w:p>
        </w:tc>
        <w:tc>
          <w:tcPr>
            <w:tcW w:w="1418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AF7625">
              <w:rPr>
                <w:rFonts w:asciiTheme="minorHAnsi" w:hAnsiTheme="minorHAnsi"/>
                <w:color w:val="1F497D" w:themeColor="text2"/>
              </w:rPr>
              <w:t>-1,5048</w:t>
            </w: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  <w:color w:val="1F497D" w:themeColor="text2"/>
              </w:rPr>
              <w:t>501,89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Általános mezőgazdasági területek (Má)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2737,22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-59,98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2677,24</w:t>
            </w:r>
          </w:p>
        </w:tc>
        <w:tc>
          <w:tcPr>
            <w:tcW w:w="1418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2677,24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Kertes mezőgazdasági területe (Mk)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29,25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29,25</w:t>
            </w:r>
          </w:p>
        </w:tc>
        <w:tc>
          <w:tcPr>
            <w:tcW w:w="1418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29,25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Vízgazdálkodási területek (V)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51,27</w:t>
            </w:r>
          </w:p>
        </w:tc>
        <w:tc>
          <w:tcPr>
            <w:tcW w:w="1418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51,27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D261AE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D261AE">
              <w:rPr>
                <w:rFonts w:asciiTheme="minorHAnsi" w:hAnsiTheme="minorHAnsi"/>
              </w:rPr>
              <w:t>Különleges beépítésre nem szánt területek (</w:t>
            </w:r>
            <w:proofErr w:type="spellStart"/>
            <w:r w:rsidRPr="00D261AE">
              <w:rPr>
                <w:rFonts w:asciiTheme="minorHAnsi" w:hAnsiTheme="minorHAnsi"/>
                <w:color w:val="365F91" w:themeColor="accent1" w:themeShade="BF"/>
              </w:rPr>
              <w:t>K</w:t>
            </w:r>
            <w:r w:rsidR="00D261AE" w:rsidRPr="00D261AE">
              <w:rPr>
                <w:rFonts w:asciiTheme="minorHAnsi" w:hAnsiTheme="minorHAnsi"/>
                <w:color w:val="365F91" w:themeColor="accent1" w:themeShade="BF"/>
              </w:rPr>
              <w:t>b</w:t>
            </w:r>
            <w:proofErr w:type="spellEnd"/>
            <w:r w:rsidRPr="00D261AE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D261AE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61AE">
              <w:rPr>
                <w:rFonts w:asciiTheme="minorHAnsi" w:hAnsiTheme="minorHAnsi"/>
              </w:rPr>
              <w:t>4,23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D261AE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61AE">
              <w:rPr>
                <w:rFonts w:asciiTheme="minorHAnsi" w:hAnsiTheme="minorHAnsi"/>
              </w:rPr>
              <w:t>-0,15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D261AE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61AE">
              <w:rPr>
                <w:rFonts w:asciiTheme="minorHAnsi" w:hAnsiTheme="minorHAnsi"/>
              </w:rPr>
              <w:t>4,08</w:t>
            </w:r>
          </w:p>
        </w:tc>
        <w:tc>
          <w:tcPr>
            <w:tcW w:w="1418" w:type="dxa"/>
            <w:vAlign w:val="center"/>
          </w:tcPr>
          <w:p w:rsidR="00AF7625" w:rsidRPr="00D261AE" w:rsidRDefault="00AF7625" w:rsidP="00C737AD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 w:rsidRPr="00D261AE">
              <w:rPr>
                <w:rFonts w:asciiTheme="minorHAnsi" w:hAnsiTheme="minorHAnsi"/>
                <w:color w:val="1F497D" w:themeColor="text2"/>
              </w:rPr>
              <w:t>+1,5048</w:t>
            </w: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261AE">
              <w:rPr>
                <w:rFonts w:asciiTheme="minorHAnsi" w:hAnsiTheme="minorHAnsi"/>
                <w:color w:val="1F497D" w:themeColor="text2"/>
              </w:rPr>
              <w:t>5,58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Közúti Közlekedési terület (KÖu)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182,79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182,79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182,79</w:t>
            </w:r>
          </w:p>
        </w:tc>
      </w:tr>
      <w:tr w:rsidR="00AF7625" w:rsidRPr="00AF7625" w:rsidTr="00C737AD">
        <w:tc>
          <w:tcPr>
            <w:tcW w:w="2518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Vasúti Közlekedési terület (KÖk)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19,26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19,26</w:t>
            </w:r>
          </w:p>
        </w:tc>
        <w:tc>
          <w:tcPr>
            <w:tcW w:w="1418" w:type="dxa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F7625">
              <w:rPr>
                <w:rFonts w:asciiTheme="minorHAnsi" w:hAnsiTheme="minorHAnsi"/>
              </w:rPr>
              <w:t>19,26</w:t>
            </w:r>
          </w:p>
        </w:tc>
      </w:tr>
      <w:tr w:rsidR="00AF7625" w:rsidRPr="00AF7625" w:rsidTr="00C737AD">
        <w:trPr>
          <w:trHeight w:val="71"/>
        </w:trPr>
        <w:tc>
          <w:tcPr>
            <w:tcW w:w="2518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</w:rPr>
            </w:pPr>
            <w:r w:rsidRPr="00AF7625">
              <w:rPr>
                <w:rFonts w:asciiTheme="minorHAnsi" w:hAnsiTheme="minorHAnsi"/>
              </w:rPr>
              <w:t>ÖSSZESEN: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  <w:r w:rsidRPr="00AF7625">
              <w:rPr>
                <w:rFonts w:asciiTheme="minorHAnsi" w:hAnsiTheme="minorHAnsi"/>
              </w:rPr>
              <w:t>4731,76 ha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i/>
                <w:highlight w:val="yellow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F7625">
              <w:rPr>
                <w:rFonts w:asciiTheme="minorHAnsi" w:hAnsiTheme="minorHAnsi"/>
              </w:rPr>
              <w:t>4731,76 ha</w:t>
            </w:r>
          </w:p>
        </w:tc>
        <w:tc>
          <w:tcPr>
            <w:tcW w:w="1418" w:type="dxa"/>
            <w:shd w:val="clear" w:color="auto" w:fill="DBE5F1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DBE5F1"/>
            <w:vAlign w:val="center"/>
          </w:tcPr>
          <w:p w:rsidR="00AF7625" w:rsidRPr="00AF7625" w:rsidRDefault="00AF7625" w:rsidP="00C737AD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AF7625">
              <w:rPr>
                <w:rFonts w:asciiTheme="minorHAnsi" w:hAnsiTheme="minorHAnsi"/>
              </w:rPr>
              <w:t>4731,76 ha</w:t>
            </w:r>
          </w:p>
        </w:tc>
      </w:tr>
    </w:tbl>
    <w:p w:rsidR="00AF7625" w:rsidRDefault="00AF7625" w:rsidP="00AF7625">
      <w:pPr>
        <w:jc w:val="right"/>
        <w:rPr>
          <w:rFonts w:asciiTheme="minorHAnsi" w:hAnsiTheme="minorHAnsi"/>
        </w:rPr>
      </w:pPr>
      <w:r w:rsidRPr="00AF7625">
        <w:rPr>
          <w:rFonts w:asciiTheme="minorHAnsi" w:hAnsiTheme="minorHAnsi"/>
        </w:rPr>
        <w:t>**/a TSZT tervlapnak az Országos Erdőterületi Adattár térképi adatbázisa /http://erdoterkep.mgszh.gov.hu/ alapján történt javítása/</w:t>
      </w:r>
    </w:p>
    <w:p w:rsidR="007350D1" w:rsidRPr="00323B85" w:rsidRDefault="007350D1" w:rsidP="00AF7625">
      <w:pPr>
        <w:jc w:val="right"/>
        <w:rPr>
          <w:b/>
          <w:i/>
        </w:rPr>
      </w:pPr>
    </w:p>
    <w:p w:rsidR="00EB577D" w:rsidRDefault="00EB577D">
      <w:p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ind w:left="850" w:hanging="357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br w:type="page"/>
      </w:r>
    </w:p>
    <w:p w:rsidR="00921168" w:rsidRPr="00AF7625" w:rsidRDefault="00921168" w:rsidP="00921168">
      <w:pPr>
        <w:spacing w:line="271" w:lineRule="exact"/>
        <w:ind w:left="116" w:right="-20"/>
        <w:rPr>
          <w:rFonts w:ascii="Arial" w:eastAsia="Arial" w:hAnsi="Arial" w:cs="Arial"/>
          <w:position w:val="-1"/>
          <w:sz w:val="24"/>
          <w:szCs w:val="24"/>
        </w:rPr>
      </w:pPr>
    </w:p>
    <w:p w:rsidR="00921168" w:rsidRPr="00AF7625" w:rsidRDefault="00921168" w:rsidP="00412B21">
      <w:pPr>
        <w:pStyle w:val="Cmsor1"/>
      </w:pPr>
      <w:r w:rsidRPr="00AF7625">
        <w:t>a Területrendezési tervekkel való összhang igazolása</w:t>
      </w:r>
    </w:p>
    <w:p w:rsidR="00921168" w:rsidRPr="000D53A6" w:rsidRDefault="00921168" w:rsidP="00921168">
      <w:pPr>
        <w:rPr>
          <w:rFonts w:cs="Arial"/>
          <w:sz w:val="22"/>
          <w:szCs w:val="22"/>
        </w:rPr>
      </w:pPr>
    </w:p>
    <w:p w:rsidR="00921168" w:rsidRPr="000D53A6" w:rsidRDefault="00921168" w:rsidP="00921168">
      <w:pPr>
        <w:pStyle w:val="Cmsor2"/>
        <w:numPr>
          <w:ilvl w:val="0"/>
          <w:numId w:val="0"/>
        </w:numPr>
        <w:shd w:val="clear" w:color="auto" w:fill="C6D9F1"/>
        <w:spacing w:before="0" w:after="0"/>
        <w:ind w:left="576" w:hanging="576"/>
        <w:rPr>
          <w:rFonts w:ascii="Calibri" w:hAnsi="Calibri"/>
          <w:sz w:val="22"/>
          <w:szCs w:val="22"/>
        </w:rPr>
      </w:pPr>
      <w:bookmarkStart w:id="25" w:name="_Toc481057244"/>
      <w:r w:rsidRPr="000D53A6">
        <w:rPr>
          <w:rFonts w:ascii="Calibri" w:hAnsi="Calibri"/>
          <w:sz w:val="22"/>
          <w:szCs w:val="22"/>
        </w:rPr>
        <w:t>4.1.</w:t>
      </w:r>
      <w:r w:rsidR="00B64054" w:rsidRPr="000D53A6">
        <w:rPr>
          <w:rFonts w:ascii="Calibri" w:hAnsi="Calibri"/>
          <w:sz w:val="22"/>
          <w:szCs w:val="22"/>
        </w:rPr>
        <w:t>Sülysáp</w:t>
      </w:r>
      <w:r w:rsidR="00F00945" w:rsidRPr="000D53A6">
        <w:rPr>
          <w:rFonts w:ascii="Calibri" w:hAnsi="Calibri"/>
          <w:sz w:val="22"/>
          <w:szCs w:val="22"/>
        </w:rPr>
        <w:t xml:space="preserve"> </w:t>
      </w:r>
      <w:r w:rsidRPr="000D53A6">
        <w:rPr>
          <w:rFonts w:ascii="Calibri" w:hAnsi="Calibri"/>
          <w:sz w:val="22"/>
          <w:szCs w:val="22"/>
        </w:rPr>
        <w:t>T</w:t>
      </w:r>
      <w:r w:rsidR="00AB1865" w:rsidRPr="000D53A6">
        <w:rPr>
          <w:rFonts w:ascii="Calibri" w:hAnsi="Calibri"/>
          <w:sz w:val="22"/>
          <w:szCs w:val="22"/>
        </w:rPr>
        <w:t>sz</w:t>
      </w:r>
      <w:r w:rsidRPr="000D53A6">
        <w:rPr>
          <w:rFonts w:ascii="Calibri" w:hAnsi="Calibri"/>
          <w:sz w:val="22"/>
          <w:szCs w:val="22"/>
        </w:rPr>
        <w:t>t módosítás területi mérlege:</w:t>
      </w:r>
      <w:bookmarkEnd w:id="25"/>
    </w:p>
    <w:p w:rsidR="00921168" w:rsidRPr="000D53A6" w:rsidRDefault="00921168" w:rsidP="00921168">
      <w:pPr>
        <w:rPr>
          <w:sz w:val="22"/>
          <w:szCs w:val="22"/>
        </w:rPr>
      </w:pPr>
    </w:p>
    <w:p w:rsidR="00027837" w:rsidRPr="00AF7625" w:rsidRDefault="00027837" w:rsidP="00027837">
      <w:pPr>
        <w:rPr>
          <w:rFonts w:cs="Arial"/>
          <w:b/>
          <w:sz w:val="22"/>
          <w:szCs w:val="22"/>
        </w:rPr>
      </w:pPr>
      <w:r w:rsidRPr="00AF7625">
        <w:rPr>
          <w:rFonts w:cs="Arial"/>
          <w:b/>
          <w:sz w:val="22"/>
          <w:szCs w:val="22"/>
        </w:rPr>
        <w:t>A település területét az alábbi területrendezési tervek érintik:</w:t>
      </w:r>
    </w:p>
    <w:p w:rsidR="00027837" w:rsidRPr="00AF7625" w:rsidRDefault="00027837" w:rsidP="00F323E3">
      <w:pPr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jc w:val="left"/>
        <w:rPr>
          <w:rFonts w:cs="Arial"/>
          <w:sz w:val="22"/>
          <w:szCs w:val="22"/>
        </w:rPr>
      </w:pPr>
      <w:r w:rsidRPr="00AF7625">
        <w:rPr>
          <w:rFonts w:cs="Arial"/>
          <w:sz w:val="22"/>
          <w:szCs w:val="22"/>
        </w:rPr>
        <w:t xml:space="preserve">Országos Területrendezési Terv (OTrT) </w:t>
      </w:r>
    </w:p>
    <w:p w:rsidR="00027837" w:rsidRPr="00AF7625" w:rsidRDefault="00027837" w:rsidP="00F323E3">
      <w:pPr>
        <w:numPr>
          <w:ilvl w:val="0"/>
          <w:numId w:val="5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jc w:val="left"/>
        <w:rPr>
          <w:rFonts w:cs="Arial"/>
          <w:sz w:val="22"/>
          <w:szCs w:val="22"/>
        </w:rPr>
      </w:pPr>
      <w:r w:rsidRPr="00AF7625">
        <w:rPr>
          <w:rFonts w:cs="Arial"/>
          <w:sz w:val="22"/>
          <w:szCs w:val="22"/>
        </w:rPr>
        <w:t xml:space="preserve">Pest Megye Területrendezési Terve (PMTrT) </w:t>
      </w:r>
    </w:p>
    <w:p w:rsidR="00027837" w:rsidRPr="00AF7625" w:rsidRDefault="00027837" w:rsidP="00027837">
      <w:pPr>
        <w:rPr>
          <w:rFonts w:cs="Arial"/>
          <w:sz w:val="22"/>
          <w:szCs w:val="22"/>
        </w:rPr>
      </w:pPr>
      <w:r w:rsidRPr="00AF7625">
        <w:rPr>
          <w:rFonts w:cs="Arial"/>
          <w:sz w:val="22"/>
          <w:szCs w:val="22"/>
        </w:rPr>
        <w:t>Alkalmazásuk a hatályos jogszabályok szerint történik.</w:t>
      </w:r>
    </w:p>
    <w:p w:rsidR="00027837" w:rsidRPr="00AF7625" w:rsidRDefault="00027837" w:rsidP="00027837">
      <w:pPr>
        <w:rPr>
          <w:rFonts w:cs="Arial"/>
          <w:sz w:val="22"/>
          <w:szCs w:val="22"/>
        </w:rPr>
      </w:pPr>
      <w:r w:rsidRPr="00AF7625">
        <w:rPr>
          <w:rFonts w:cs="Arial"/>
          <w:sz w:val="22"/>
          <w:szCs w:val="22"/>
        </w:rPr>
        <w:t>Vagyis, amit a PMTrT alkalmazott, de az OTrT megszüntetett, azt nem kell alkalmazni.</w:t>
      </w:r>
    </w:p>
    <w:p w:rsidR="00027837" w:rsidRPr="00AF7625" w:rsidRDefault="00027837" w:rsidP="00027837">
      <w:pPr>
        <w:rPr>
          <w:rFonts w:cs="Arial"/>
          <w:sz w:val="22"/>
          <w:szCs w:val="22"/>
        </w:rPr>
      </w:pPr>
      <w:r w:rsidRPr="00AF7625">
        <w:rPr>
          <w:rFonts w:cs="Arial"/>
          <w:sz w:val="22"/>
          <w:szCs w:val="22"/>
        </w:rPr>
        <w:t xml:space="preserve">Továbbá, a PMTrT által megállapított övezet, de az OTrT. módosította az előírásait, ott amennyiben az OTrT előírásaitól eltér, akkor az OTrT előírásait kell alkalmazni. Az OTrT által megállapított övezet, de a PMTrT még nem alkalmazza, ott az OTrT előírásai szerint kell lehatárolni és alkalmazni. </w:t>
      </w:r>
    </w:p>
    <w:p w:rsidR="00921168" w:rsidRPr="00B64054" w:rsidRDefault="00921168" w:rsidP="00921168">
      <w:pPr>
        <w:rPr>
          <w:rFonts w:cs="Arial"/>
          <w:highlight w:val="yellow"/>
        </w:rPr>
      </w:pPr>
    </w:p>
    <w:p w:rsidR="00AF7625" w:rsidRPr="00F03375" w:rsidRDefault="00AF7625" w:rsidP="00AF7625">
      <w:pPr>
        <w:jc w:val="left"/>
        <w:rPr>
          <w:rFonts w:cs="Arial"/>
          <w:b/>
          <w:bCs/>
          <w:noProof/>
          <w:sz w:val="28"/>
          <w:szCs w:val="28"/>
        </w:rPr>
      </w:pPr>
      <w:r w:rsidRPr="00F03375">
        <w:rPr>
          <w:rFonts w:cs="Arial"/>
          <w:b/>
          <w:bCs/>
          <w:noProof/>
          <w:sz w:val="28"/>
          <w:szCs w:val="28"/>
        </w:rPr>
        <w:t>IGAZOLÁS-ORSZÁGOS ÉS TÉRSÉGI TERÜLETFELHASZNÁLÁSI KATGÓRIÁK</w:t>
      </w:r>
    </w:p>
    <w:p w:rsidR="00AF7625" w:rsidRPr="00AF7625" w:rsidRDefault="00AF7625" w:rsidP="00AF7625">
      <w:pPr>
        <w:rPr>
          <w:rFonts w:cs="Arial"/>
          <w:bCs/>
          <w:noProof/>
          <w:sz w:val="22"/>
          <w:szCs w:val="22"/>
        </w:rPr>
      </w:pPr>
      <w:r w:rsidRPr="00AF7625">
        <w:rPr>
          <w:rFonts w:cs="Arial"/>
          <w:bCs/>
          <w:noProof/>
          <w:sz w:val="22"/>
          <w:szCs w:val="22"/>
        </w:rPr>
        <w:t>Sülysáp közigazgatási területét az Országos Területrendezési Terv és PMTrT terve szerint öt területfelhasználási egység érinti.</w:t>
      </w:r>
    </w:p>
    <w:p w:rsidR="00AF7625" w:rsidRPr="00AF7625" w:rsidRDefault="00AF7625" w:rsidP="00AF7625">
      <w:pPr>
        <w:rPr>
          <w:rFonts w:cs="Arial"/>
          <w:bCs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t>A tervezett módosítás</w:t>
      </w:r>
      <w:r w:rsidRPr="00AF7625">
        <w:rPr>
          <w:rFonts w:cs="Arial"/>
          <w:b/>
          <w:sz w:val="22"/>
          <w:szCs w:val="22"/>
        </w:rPr>
        <w:t xml:space="preserve"> a megengedett </w:t>
      </w:r>
      <w:r>
        <w:rPr>
          <w:rFonts w:cs="Arial"/>
          <w:b/>
          <w:sz w:val="22"/>
          <w:szCs w:val="22"/>
        </w:rPr>
        <w:t>eltérési lehetőségeket nem lépi</w:t>
      </w:r>
      <w:r w:rsidRPr="00AF7625">
        <w:rPr>
          <w:rFonts w:cs="Arial"/>
          <w:b/>
          <w:sz w:val="22"/>
          <w:szCs w:val="22"/>
        </w:rPr>
        <w:t xml:space="preserve"> túl!</w:t>
      </w:r>
    </w:p>
    <w:p w:rsidR="00AF7625" w:rsidRDefault="00AF7625" w:rsidP="00AF7625">
      <w:pPr>
        <w:rPr>
          <w:rFonts w:cs="Arial"/>
          <w:bCs/>
          <w:noProof/>
          <w:sz w:val="22"/>
          <w:szCs w:val="22"/>
        </w:rPr>
      </w:pPr>
      <w:r w:rsidRPr="00AF7625">
        <w:rPr>
          <w:rFonts w:cs="Arial"/>
          <w:bCs/>
          <w:noProof/>
          <w:sz w:val="22"/>
          <w:szCs w:val="22"/>
        </w:rPr>
        <w:t xml:space="preserve">A településszerkezti terv tervezett beépítésre nem szánt (1 számú )módosítási terület összesen 1,5ha-on a beépítésre nem szánt területfelhasználáson belüli változás történik. Ezen terület a PMTrT-ben mezőgazdasági térség területfelhasználású kategóriába van. </w:t>
      </w:r>
    </w:p>
    <w:p w:rsidR="007350D1" w:rsidRPr="00AF7625" w:rsidRDefault="007350D1" w:rsidP="00AF7625">
      <w:pPr>
        <w:rPr>
          <w:rFonts w:cs="Arial"/>
          <w:bCs/>
          <w:noProof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2"/>
        <w:gridCol w:w="1734"/>
      </w:tblGrid>
      <w:tr w:rsidR="00AF7625" w:rsidRPr="00E05D2D" w:rsidTr="00C737AD">
        <w:tc>
          <w:tcPr>
            <w:tcW w:w="7902" w:type="dxa"/>
            <w:shd w:val="clear" w:color="auto" w:fill="C6D9F1"/>
          </w:tcPr>
          <w:p w:rsidR="00AF7625" w:rsidRPr="00F03375" w:rsidRDefault="00AF7625" w:rsidP="00C737AD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F03375">
              <w:rPr>
                <w:rFonts w:cs="Arial"/>
                <w:b/>
                <w:sz w:val="24"/>
                <w:szCs w:val="24"/>
              </w:rPr>
              <w:t>Mezőgazdasági térség</w:t>
            </w:r>
          </w:p>
        </w:tc>
        <w:tc>
          <w:tcPr>
            <w:tcW w:w="1734" w:type="dxa"/>
            <w:shd w:val="clear" w:color="auto" w:fill="C6D9F1"/>
          </w:tcPr>
          <w:p w:rsidR="00AF7625" w:rsidRPr="00E05D2D" w:rsidRDefault="00AF7625" w:rsidP="00C737AD">
            <w:pPr>
              <w:rPr>
                <w:rFonts w:cs="Arial"/>
                <w:b/>
                <w:highlight w:val="yellow"/>
              </w:rPr>
            </w:pP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890E6B" w:rsidRDefault="00AF7625" w:rsidP="00C737AD">
            <w:pPr>
              <w:spacing w:line="276" w:lineRule="auto"/>
              <w:rPr>
                <w:rFonts w:cs="Arial"/>
              </w:rPr>
            </w:pPr>
            <w:r w:rsidRPr="00890E6B">
              <w:rPr>
                <w:rFonts w:cs="Arial"/>
              </w:rPr>
              <w:t>OTrT 6.§ (2) b) - A mezőgazdasági térséget legalább 85%-ban mezőgazdasági terület, beépítésre szánt különleges honvédelmi terület, beépítésre nem szánt különleges honvédelmi terület vagy természetközeli terület területfelhasználási egységbe kell sorolni, a térségben nagyvárosias lakóterület és vegyes terület területfelhasználási egység nem jelölhető ki</w:t>
            </w:r>
            <w:proofErr w:type="gramStart"/>
            <w:r w:rsidRPr="00890E6B">
              <w:rPr>
                <w:rFonts w:cs="Arial"/>
              </w:rPr>
              <w:t>;.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AF7625" w:rsidRPr="00E05D2D" w:rsidRDefault="00AF7625" w:rsidP="00C737AD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890E6B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890E6B">
              <w:rPr>
                <w:rFonts w:cs="Arial"/>
              </w:rPr>
              <w:t>PMTrT Szerkezeti tervében mezőgazdasági térségbe sorolt területek</w:t>
            </w:r>
          </w:p>
        </w:tc>
        <w:tc>
          <w:tcPr>
            <w:tcW w:w="1734" w:type="dxa"/>
            <w:shd w:val="clear" w:color="auto" w:fill="auto"/>
          </w:tcPr>
          <w:p w:rsidR="00AF7625" w:rsidRPr="00E05D2D" w:rsidRDefault="00AF7625" w:rsidP="00C737AD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890E6B">
              <w:rPr>
                <w:rFonts w:cs="Arial"/>
                <w:b/>
              </w:rPr>
              <w:t>1784,27 ha</w:t>
            </w: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890E6B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890E6B">
              <w:rPr>
                <w:rFonts w:cs="Arial"/>
              </w:rPr>
              <w:t>A mezőgazdasági térség 85%-ának megfelelő területnagyság</w:t>
            </w:r>
          </w:p>
        </w:tc>
        <w:tc>
          <w:tcPr>
            <w:tcW w:w="1734" w:type="dxa"/>
            <w:shd w:val="clear" w:color="auto" w:fill="auto"/>
          </w:tcPr>
          <w:p w:rsidR="00AF7625" w:rsidRPr="00E05D2D" w:rsidRDefault="00AF7625" w:rsidP="00C737AD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890E6B">
              <w:rPr>
                <w:rFonts w:cs="Arial"/>
                <w:b/>
              </w:rPr>
              <w:t>1516,62 ha</w:t>
            </w:r>
          </w:p>
        </w:tc>
      </w:tr>
      <w:tr w:rsidR="00AF7625" w:rsidRPr="00F37B78" w:rsidTr="00C737AD">
        <w:tc>
          <w:tcPr>
            <w:tcW w:w="7902" w:type="dxa"/>
            <w:shd w:val="clear" w:color="auto" w:fill="auto"/>
          </w:tcPr>
          <w:p w:rsidR="00AF7625" w:rsidRPr="00F37B78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F37B78">
              <w:rPr>
                <w:rFonts w:cs="Arial"/>
              </w:rPr>
              <w:t>A TSZT-ben a mezőgazdasági térségbe eső mezőgazdasági, természetközeli, vagy honvédelmi terület területfelhasználásba sorolt területek nagysága</w:t>
            </w:r>
          </w:p>
        </w:tc>
        <w:tc>
          <w:tcPr>
            <w:tcW w:w="1734" w:type="dxa"/>
            <w:shd w:val="clear" w:color="auto" w:fill="auto"/>
          </w:tcPr>
          <w:p w:rsidR="00AF7625" w:rsidRPr="00F37B78" w:rsidRDefault="00AF7625" w:rsidP="00C737AD">
            <w:pPr>
              <w:spacing w:line="276" w:lineRule="auto"/>
              <w:rPr>
                <w:rFonts w:cs="Arial"/>
                <w:b/>
              </w:rPr>
            </w:pPr>
            <w:r w:rsidRPr="00F37B78">
              <w:rPr>
                <w:rFonts w:cs="Arial"/>
                <w:b/>
              </w:rPr>
              <w:t>16</w:t>
            </w:r>
            <w:r>
              <w:rPr>
                <w:rFonts w:cs="Arial"/>
                <w:b/>
              </w:rPr>
              <w:t>61</w:t>
            </w:r>
            <w:r w:rsidRPr="00F37B78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32</w:t>
            </w:r>
            <w:r w:rsidRPr="00F37B78">
              <w:rPr>
                <w:rFonts w:cs="Arial"/>
                <w:b/>
              </w:rPr>
              <w:t xml:space="preserve"> ha</w:t>
            </w:r>
          </w:p>
        </w:tc>
      </w:tr>
      <w:tr w:rsidR="00AF7625" w:rsidRPr="00F37B78" w:rsidTr="00C737AD">
        <w:tc>
          <w:tcPr>
            <w:tcW w:w="7902" w:type="dxa"/>
            <w:shd w:val="clear" w:color="auto" w:fill="auto"/>
          </w:tcPr>
          <w:p w:rsidR="00AF7625" w:rsidRPr="00F37B78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F37B78">
              <w:rPr>
                <w:rFonts w:cs="Arial"/>
              </w:rPr>
              <w:t>A TSZT-ben a mezőgazdasági térségbe eső mezőgazdasági, természetközeli, vagy honvédelmi terület területfelhasználásba sorolt területek aránya</w:t>
            </w:r>
          </w:p>
        </w:tc>
        <w:tc>
          <w:tcPr>
            <w:tcW w:w="1734" w:type="dxa"/>
            <w:shd w:val="clear" w:color="auto" w:fill="auto"/>
          </w:tcPr>
          <w:p w:rsidR="00AF7625" w:rsidRPr="00F37B78" w:rsidRDefault="00AF7625" w:rsidP="00C737AD">
            <w:pPr>
              <w:spacing w:line="276" w:lineRule="auto"/>
              <w:rPr>
                <w:rFonts w:cs="Arial"/>
                <w:b/>
              </w:rPr>
            </w:pPr>
            <w:r w:rsidRPr="00F37B78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3</w:t>
            </w:r>
            <w:r w:rsidRPr="00F37B78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1</w:t>
            </w:r>
            <w:r w:rsidRPr="00F37B78">
              <w:rPr>
                <w:rFonts w:cs="Arial"/>
                <w:b/>
              </w:rPr>
              <w:t xml:space="preserve"> %</w:t>
            </w:r>
          </w:p>
        </w:tc>
      </w:tr>
      <w:tr w:rsidR="00AF7625" w:rsidRPr="00F37B78" w:rsidTr="00C737AD">
        <w:tc>
          <w:tcPr>
            <w:tcW w:w="7902" w:type="dxa"/>
            <w:shd w:val="clear" w:color="auto" w:fill="auto"/>
          </w:tcPr>
          <w:p w:rsidR="00AF7625" w:rsidRPr="00F37B78" w:rsidRDefault="00AF7625" w:rsidP="00C737AD">
            <w:pPr>
              <w:spacing w:line="276" w:lineRule="auto"/>
              <w:ind w:left="360"/>
              <w:rPr>
                <w:rFonts w:cs="Arial"/>
              </w:rPr>
            </w:pPr>
            <w:r w:rsidRPr="00E14700">
              <w:rPr>
                <w:rFonts w:cs="Arial"/>
                <w:b/>
                <w:color w:val="FF0000"/>
              </w:rPr>
              <w:t>A TSZT megfelel az előírásoknak, mivel 85%-ot meghaladó a térségbe eső mezőgazdasági területek aránya!</w:t>
            </w:r>
          </w:p>
        </w:tc>
        <w:tc>
          <w:tcPr>
            <w:tcW w:w="1734" w:type="dxa"/>
            <w:shd w:val="clear" w:color="auto" w:fill="auto"/>
          </w:tcPr>
          <w:p w:rsidR="00AF7625" w:rsidRPr="00F37B78" w:rsidRDefault="00AF7625" w:rsidP="00C737AD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F7625" w:rsidRPr="0053073E" w:rsidTr="00C737AD">
        <w:tc>
          <w:tcPr>
            <w:tcW w:w="7902" w:type="dxa"/>
            <w:shd w:val="clear" w:color="auto" w:fill="auto"/>
          </w:tcPr>
          <w:p w:rsidR="00AF7625" w:rsidRPr="00E14700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  <w:color w:val="FF0000"/>
              </w:rPr>
            </w:pPr>
            <w:r w:rsidRPr="00E14700">
              <w:rPr>
                <w:rFonts w:cs="Arial"/>
              </w:rPr>
              <w:t>A TSZT-ben mezőgazdasági területfelhasználásba sorolt területek nagysága</w:t>
            </w:r>
          </w:p>
        </w:tc>
        <w:tc>
          <w:tcPr>
            <w:tcW w:w="1734" w:type="dxa"/>
            <w:shd w:val="clear" w:color="auto" w:fill="auto"/>
          </w:tcPr>
          <w:p w:rsidR="00AF7625" w:rsidRPr="0053073E" w:rsidRDefault="00AF7625" w:rsidP="00C737AD">
            <w:pPr>
              <w:spacing w:line="276" w:lineRule="auto"/>
              <w:rPr>
                <w:rFonts w:cs="Arial"/>
                <w:b/>
              </w:rPr>
            </w:pPr>
            <w:r w:rsidRPr="0053073E">
              <w:rPr>
                <w:rFonts w:cs="Arial"/>
                <w:b/>
              </w:rPr>
              <w:t>27</w:t>
            </w:r>
            <w:r>
              <w:rPr>
                <w:rFonts w:cs="Arial"/>
                <w:b/>
              </w:rPr>
              <w:t>06</w:t>
            </w:r>
            <w:r w:rsidRPr="0053073E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>49</w:t>
            </w:r>
            <w:r w:rsidRPr="0053073E">
              <w:rPr>
                <w:rFonts w:cs="Arial"/>
                <w:b/>
              </w:rPr>
              <w:t xml:space="preserve"> ha</w:t>
            </w:r>
          </w:p>
        </w:tc>
      </w:tr>
      <w:tr w:rsidR="00AF7625" w:rsidRPr="001C0046" w:rsidTr="00C737AD">
        <w:tc>
          <w:tcPr>
            <w:tcW w:w="7902" w:type="dxa"/>
            <w:shd w:val="clear" w:color="auto" w:fill="auto"/>
          </w:tcPr>
          <w:p w:rsidR="00AF7625" w:rsidRPr="001C0046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1C00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mezőgazdasági</w:t>
            </w:r>
            <w:r w:rsidRPr="001C0046">
              <w:rPr>
                <w:rFonts w:cs="Arial"/>
              </w:rPr>
              <w:t xml:space="preserve"> térség és a TSZT-ben </w:t>
            </w:r>
            <w:r>
              <w:rPr>
                <w:rFonts w:cs="Arial"/>
              </w:rPr>
              <w:t>mezőgazdasági</w:t>
            </w:r>
            <w:r w:rsidRPr="001C0046">
              <w:rPr>
                <w:rFonts w:cs="Arial"/>
              </w:rPr>
              <w:t xml:space="preserve"> területfelhasználásba sorolt területek aránya</w:t>
            </w:r>
          </w:p>
        </w:tc>
        <w:tc>
          <w:tcPr>
            <w:tcW w:w="1734" w:type="dxa"/>
            <w:shd w:val="clear" w:color="auto" w:fill="auto"/>
          </w:tcPr>
          <w:p w:rsidR="00AF7625" w:rsidRPr="001C0046" w:rsidRDefault="00AF7625" w:rsidP="00C737A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151,68</w:t>
            </w:r>
            <w:r w:rsidRPr="001C0046">
              <w:rPr>
                <w:rFonts w:cs="Arial"/>
                <w:b/>
              </w:rPr>
              <w:t xml:space="preserve"> %</w:t>
            </w:r>
          </w:p>
        </w:tc>
      </w:tr>
      <w:tr w:rsidR="00AF7625" w:rsidRPr="00890E6B" w:rsidTr="00C737AD">
        <w:tc>
          <w:tcPr>
            <w:tcW w:w="7902" w:type="dxa"/>
            <w:shd w:val="clear" w:color="auto" w:fill="auto"/>
          </w:tcPr>
          <w:p w:rsidR="00AF7625" w:rsidRPr="00890E6B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890E6B">
              <w:rPr>
                <w:rFonts w:cs="Arial"/>
              </w:rPr>
              <w:t>PMTrT Szerkezeti tervében mezőgazdasági területfelhasználású térségén belül a TSZT-ben bármely területfelhasználásba sorolható terület nagysága a nagyvárosias lakóterület és vegyes terület területfelhasználási egység kivételével</w:t>
            </w:r>
            <w:r w:rsidR="007350D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(15%)</w:t>
            </w:r>
          </w:p>
        </w:tc>
        <w:tc>
          <w:tcPr>
            <w:tcW w:w="1734" w:type="dxa"/>
            <w:shd w:val="clear" w:color="auto" w:fill="auto"/>
          </w:tcPr>
          <w:p w:rsidR="00AF7625" w:rsidRPr="00890E6B" w:rsidRDefault="00AF7625" w:rsidP="00C737AD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890E6B">
              <w:rPr>
                <w:rFonts w:cs="Arial"/>
                <w:b/>
              </w:rPr>
              <w:t>267,65 ha</w:t>
            </w:r>
          </w:p>
        </w:tc>
      </w:tr>
      <w:tr w:rsidR="00AF7625" w:rsidRPr="00890E6B" w:rsidTr="00C737AD">
        <w:tc>
          <w:tcPr>
            <w:tcW w:w="7902" w:type="dxa"/>
            <w:shd w:val="clear" w:color="auto" w:fill="auto"/>
          </w:tcPr>
          <w:p w:rsidR="00AF7625" w:rsidRPr="00890E6B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F7285D">
              <w:rPr>
                <w:rFonts w:cs="Arial"/>
              </w:rPr>
              <w:t xml:space="preserve">TSZT- ben a mezőgazdasági területfelhasználású térségén belül igénybe vett bármely területfelhasználásba sorolható terület nagysága </w:t>
            </w:r>
            <w:r>
              <w:rPr>
                <w:rFonts w:cs="Arial"/>
              </w:rPr>
              <w:t>(ezen belül a következő sor adata is szerepel)1784,27-1661,32</w:t>
            </w:r>
          </w:p>
        </w:tc>
        <w:tc>
          <w:tcPr>
            <w:tcW w:w="1734" w:type="dxa"/>
            <w:shd w:val="clear" w:color="auto" w:fill="auto"/>
          </w:tcPr>
          <w:p w:rsidR="00AF7625" w:rsidRPr="00890E6B" w:rsidRDefault="00AF7625" w:rsidP="00C737A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122,95 ha</w:t>
            </w: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53073E" w:rsidRDefault="00AF7625" w:rsidP="00C737AD">
            <w:pPr>
              <w:tabs>
                <w:tab w:val="right" w:pos="1874"/>
              </w:tabs>
              <w:spacing w:line="276" w:lineRule="auto"/>
              <w:rPr>
                <w:rFonts w:cs="Arial"/>
                <w:b/>
                <w:noProof/>
              </w:rPr>
            </w:pPr>
            <w:r>
              <w:rPr>
                <w:rFonts w:cs="Arial"/>
              </w:rPr>
              <w:t>A TSZT-ben a 2017</w:t>
            </w:r>
            <w:r w:rsidRPr="0053073E">
              <w:rPr>
                <w:rFonts w:cs="Arial"/>
              </w:rPr>
              <w:t xml:space="preserve"> évi módosításkor igénybe vett terület: -</w:t>
            </w:r>
            <w:r>
              <w:rPr>
                <w:rFonts w:cs="Arial"/>
              </w:rPr>
              <w:t>----</w:t>
            </w:r>
          </w:p>
        </w:tc>
        <w:tc>
          <w:tcPr>
            <w:tcW w:w="1734" w:type="dxa"/>
            <w:shd w:val="clear" w:color="auto" w:fill="auto"/>
          </w:tcPr>
          <w:p w:rsidR="00AF7625" w:rsidRPr="00E05D2D" w:rsidRDefault="00AF7625" w:rsidP="00C737AD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----</w:t>
            </w: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F03375" w:rsidRDefault="00AF7625" w:rsidP="00C737AD">
            <w:pPr>
              <w:tabs>
                <w:tab w:val="right" w:pos="1874"/>
              </w:tabs>
              <w:spacing w:line="276" w:lineRule="auto"/>
              <w:rPr>
                <w:rFonts w:cs="Arial"/>
                <w:color w:val="4F81BD" w:themeColor="accent1"/>
              </w:rPr>
            </w:pPr>
            <w:r w:rsidRPr="00F03375">
              <w:rPr>
                <w:rFonts w:cs="Arial"/>
                <w:color w:val="4F81BD" w:themeColor="accent1"/>
              </w:rPr>
              <w:t>A TSZT-ben a 2018 évi módosításkor igénybe vett terület: -----</w:t>
            </w:r>
          </w:p>
        </w:tc>
        <w:tc>
          <w:tcPr>
            <w:tcW w:w="1734" w:type="dxa"/>
            <w:shd w:val="clear" w:color="auto" w:fill="auto"/>
          </w:tcPr>
          <w:p w:rsidR="00AF7625" w:rsidRPr="00F03375" w:rsidRDefault="00AF7625" w:rsidP="00C737AD">
            <w:pPr>
              <w:spacing w:line="276" w:lineRule="auto"/>
              <w:rPr>
                <w:rFonts w:cs="Arial"/>
                <w:b/>
                <w:color w:val="4F81BD" w:themeColor="accent1"/>
              </w:rPr>
            </w:pPr>
            <w:r w:rsidRPr="00F03375">
              <w:rPr>
                <w:rFonts w:cs="Arial"/>
                <w:b/>
                <w:color w:val="4F81BD" w:themeColor="accent1"/>
              </w:rPr>
              <w:t>1,5048</w:t>
            </w: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53073E" w:rsidRDefault="00AF7625" w:rsidP="00AF7625">
            <w:pPr>
              <w:numPr>
                <w:ilvl w:val="0"/>
                <w:numId w:val="10"/>
              </w:numPr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8222"/>
              </w:tabs>
              <w:spacing w:line="276" w:lineRule="auto"/>
              <w:ind w:left="360" w:hanging="360"/>
              <w:rPr>
                <w:rFonts w:cs="Arial"/>
              </w:rPr>
            </w:pPr>
            <w:r w:rsidRPr="0053073E">
              <w:rPr>
                <w:rFonts w:cs="Arial"/>
              </w:rPr>
              <w:t>A továbbiakbanTSZT-ben bármely területfelhasználásra igénybe vehető területnagyság</w:t>
            </w:r>
            <w:r w:rsidR="00D261A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(267,65-122,95</w:t>
            </w:r>
            <w:r w:rsidRPr="00F03375">
              <w:rPr>
                <w:rFonts w:cs="Arial"/>
                <w:color w:val="4F81BD" w:themeColor="accent1"/>
              </w:rPr>
              <w:t>-1,5048</w:t>
            </w:r>
            <w:r>
              <w:rPr>
                <w:rFonts w:cs="Arial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:rsidR="00AF7625" w:rsidRPr="00E05D2D" w:rsidRDefault="00AF7625" w:rsidP="00C737AD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F03375">
              <w:rPr>
                <w:rFonts w:cs="Arial"/>
                <w:b/>
                <w:color w:val="4F81BD" w:themeColor="accent1"/>
              </w:rPr>
              <w:t>143,19 ha</w:t>
            </w:r>
          </w:p>
        </w:tc>
      </w:tr>
      <w:tr w:rsidR="00AF7625" w:rsidRPr="00E05D2D" w:rsidTr="00C737AD">
        <w:tc>
          <w:tcPr>
            <w:tcW w:w="7902" w:type="dxa"/>
            <w:shd w:val="clear" w:color="auto" w:fill="auto"/>
          </w:tcPr>
          <w:p w:rsidR="00AF7625" w:rsidRPr="0053073E" w:rsidRDefault="00AF7625" w:rsidP="00C737A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34" w:type="dxa"/>
            <w:shd w:val="clear" w:color="auto" w:fill="auto"/>
          </w:tcPr>
          <w:p w:rsidR="00AF7625" w:rsidRPr="00E05D2D" w:rsidRDefault="00AF7625" w:rsidP="00C737AD">
            <w:pPr>
              <w:spacing w:line="276" w:lineRule="auto"/>
              <w:rPr>
                <w:rFonts w:cs="Arial"/>
                <w:b/>
                <w:highlight w:val="yellow"/>
              </w:rPr>
            </w:pPr>
          </w:p>
        </w:tc>
      </w:tr>
    </w:tbl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lastRenderedPageBreak/>
        <w:t xml:space="preserve">A fentiek alapján e tervdokumentációban rögzített módosítási javaslatokkal kapcsolatban megállapítható, hogy azok a Pest megye 5/2012. (V.10.). sz. önkormányzati rendelettel jóváhagyott PMTrT tervlap előírásaival, illetve a 2003. évi XXVI. törvény (OTrT) előírásaival összhangban vannak. 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>Az OTrT 8.§ elírásai: „8. § (1) Borvidéki település szőlő termőhelyi katasztere I-II. osztályú területeihez tartozó földrészlet - a különleges mezőgazdasági üzemi terület kivételével - beépítésre szánt területté nem minősíthető.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>A Borvidéki települések szőlő termőhelyi kataszteréről, valamint az Országos Gyümölcs Termőhely Kataszterről a NEBIH szolgáltathatna adatot. A 59/2017. (XII. 18.) FM rendelet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 xml:space="preserve">a szőlészeti és a borászati adatszolgáltatás, valamint a származási bizonyítványok kiadásának rendjéről, továbbá a borászati termékek előállításáról, forgalomba hozataláról és jelöléséről szóló 127/2009. (IX. 29.) FVM rendelet módosításáról szóló rendelet 1.sz. melléklete alapján az OEM termékleírásokban körülhatárolt termőterület fejezetek sorolják fel a borvidéki településeket. Megállapítható, hogy Sülysáp nem tartozik egyik borvidékhez sem. 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>Kijelenthető, hogy a település nem érintett az OTrT 8.§-a által, vagyis a terv megfelel a vonatkozó előírásoknak.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>Az Országos Gyümölcs Termőhely Kataszter I. és II. osztályú területeihez tartozó földrészlet - a különleges mezőgazdasági üzemi terület kivételével - beépítésre szánt területté nem minősíthető.”</w:t>
      </w:r>
    </w:p>
    <w:p w:rsidR="00AF7625" w:rsidRPr="00AF7625" w:rsidRDefault="00AF7625" w:rsidP="00AF7625">
      <w:pPr>
        <w:pStyle w:val="lfej"/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 xml:space="preserve">A jelen tervmódosítás során új beépítésre szánt terület nem került kijelölésre, ezért gyümölcskataszter érintettség ez esetben nem releváns. </w:t>
      </w:r>
    </w:p>
    <w:p w:rsidR="00F269C0" w:rsidRDefault="00F269C0" w:rsidP="00AF7625">
      <w:pPr>
        <w:pStyle w:val="lfej"/>
        <w:spacing w:line="276" w:lineRule="auto"/>
        <w:rPr>
          <w:rFonts w:cs="Arial"/>
        </w:rPr>
      </w:pPr>
    </w:p>
    <w:p w:rsidR="00AF7625" w:rsidRPr="001D47F0" w:rsidRDefault="00AF7625" w:rsidP="00AF7625">
      <w:pPr>
        <w:rPr>
          <w:rFonts w:cs="Arial"/>
          <w:b/>
          <w:bCs/>
          <w:noProof/>
          <w:sz w:val="24"/>
          <w:szCs w:val="24"/>
        </w:rPr>
      </w:pPr>
      <w:r w:rsidRPr="001D47F0">
        <w:rPr>
          <w:rFonts w:cs="Arial"/>
          <w:b/>
          <w:bCs/>
          <w:noProof/>
          <w:sz w:val="24"/>
          <w:szCs w:val="24"/>
        </w:rPr>
        <w:t>IGAZOLÁS</w:t>
      </w:r>
      <w:r w:rsidR="00D261AE">
        <w:rPr>
          <w:rFonts w:cs="Arial"/>
          <w:b/>
          <w:bCs/>
          <w:noProof/>
          <w:sz w:val="24"/>
          <w:szCs w:val="24"/>
        </w:rPr>
        <w:t xml:space="preserve"> </w:t>
      </w:r>
      <w:r w:rsidRPr="001D47F0">
        <w:rPr>
          <w:rFonts w:cs="Arial"/>
          <w:b/>
          <w:bCs/>
          <w:noProof/>
          <w:sz w:val="24"/>
          <w:szCs w:val="24"/>
        </w:rPr>
        <w:t>-</w:t>
      </w:r>
      <w:r w:rsidR="00D261AE">
        <w:rPr>
          <w:rFonts w:cs="Arial"/>
          <w:b/>
          <w:bCs/>
          <w:noProof/>
          <w:sz w:val="24"/>
          <w:szCs w:val="24"/>
        </w:rPr>
        <w:t xml:space="preserve"> </w:t>
      </w:r>
      <w:r w:rsidRPr="001D47F0">
        <w:rPr>
          <w:rFonts w:cs="Arial"/>
          <w:b/>
          <w:bCs/>
          <w:noProof/>
          <w:sz w:val="24"/>
          <w:szCs w:val="24"/>
        </w:rPr>
        <w:t>ORSZÁGOS ÉS TÉRSÉGI ÖVEZETI KAT</w:t>
      </w:r>
      <w:r>
        <w:rPr>
          <w:rFonts w:cs="Arial"/>
          <w:b/>
          <w:bCs/>
          <w:noProof/>
          <w:sz w:val="24"/>
          <w:szCs w:val="24"/>
        </w:rPr>
        <w:t>E</w:t>
      </w:r>
      <w:r w:rsidRPr="001D47F0">
        <w:rPr>
          <w:rFonts w:cs="Arial"/>
          <w:b/>
          <w:bCs/>
          <w:noProof/>
          <w:sz w:val="24"/>
          <w:szCs w:val="24"/>
        </w:rPr>
        <w:t>GÓRIÁK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>Az övezeti tervlapok alapján megállapítható, hogy Sülysáp közigazgatási területét és/vagy a módosítási területeket az OTrT és a PMTrT alapján 7 különböző térségi övezet érinti.</w:t>
      </w:r>
    </w:p>
    <w:p w:rsidR="00AF7625" w:rsidRPr="00AF7625" w:rsidRDefault="00AF7625" w:rsidP="00AF76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F7625">
        <w:rPr>
          <w:rFonts w:asciiTheme="minorHAnsi" w:hAnsiTheme="minorHAnsi" w:cs="Arial"/>
          <w:sz w:val="22"/>
          <w:szCs w:val="22"/>
        </w:rPr>
        <w:t>A Sülysáp közigazgatási területét érintő övezeti kategóriákra vonatkozó előírásokat a helyzetértékelő munkarész tartalmazza.</w:t>
      </w:r>
    </w:p>
    <w:p w:rsidR="00AF7625" w:rsidRPr="006B4D7A" w:rsidRDefault="00AF7625" w:rsidP="00AF7625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6B4D7A">
        <w:rPr>
          <w:rFonts w:cs="Arial"/>
          <w:b/>
          <w:sz w:val="28"/>
          <w:szCs w:val="28"/>
        </w:rPr>
        <w:t>Összefoglaló táblázatok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56"/>
        <w:gridCol w:w="1700"/>
        <w:gridCol w:w="1616"/>
        <w:gridCol w:w="9"/>
      </w:tblGrid>
      <w:tr w:rsidR="00AF7625" w:rsidRPr="006B4D7A" w:rsidTr="00C737AD">
        <w:trPr>
          <w:gridAfter w:val="1"/>
          <w:wAfter w:w="9" w:type="dxa"/>
          <w:trHeight w:val="850"/>
          <w:jc w:val="center"/>
        </w:trPr>
        <w:tc>
          <w:tcPr>
            <w:tcW w:w="9472" w:type="dxa"/>
            <w:gridSpan w:val="3"/>
            <w:shd w:val="clear" w:color="auto" w:fill="DBE5F1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Országos Területrendezési Terv</w:t>
            </w:r>
          </w:p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országos területfelhasználási / övezeti érintettség</w:t>
            </w:r>
          </w:p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5D40C7">
              <w:rPr>
                <w:rFonts w:cs="Arial"/>
                <w:bCs/>
                <w:sz w:val="18"/>
                <w:szCs w:val="18"/>
              </w:rPr>
              <w:t xml:space="preserve">a közigazgatási területet </w:t>
            </w:r>
            <w:r w:rsidRPr="005D40C7">
              <w:rPr>
                <w:rFonts w:cs="Arial"/>
                <w:sz w:val="18"/>
                <w:szCs w:val="18"/>
              </w:rPr>
              <w:t xml:space="preserve">az alábbiak </w:t>
            </w:r>
            <w:r w:rsidRPr="005D40C7">
              <w:rPr>
                <w:rFonts w:cs="Arial"/>
                <w:b/>
                <w:sz w:val="18"/>
                <w:szCs w:val="18"/>
              </w:rPr>
              <w:t xml:space="preserve">érintik </w:t>
            </w:r>
            <w:r w:rsidRPr="005D40C7">
              <w:rPr>
                <w:rFonts w:cs="Arial"/>
                <w:sz w:val="18"/>
                <w:szCs w:val="18"/>
              </w:rPr>
              <w:t>(</w:t>
            </w:r>
            <w:r w:rsidRPr="005D40C7">
              <w:rPr>
                <w:rFonts w:cs="Arial"/>
                <w:b/>
                <w:sz w:val="18"/>
                <w:szCs w:val="18"/>
              </w:rPr>
              <w:t>+</w:t>
            </w:r>
            <w:r w:rsidRPr="005D40C7">
              <w:rPr>
                <w:rFonts w:cs="Arial"/>
                <w:sz w:val="18"/>
                <w:szCs w:val="18"/>
              </w:rPr>
              <w:t xml:space="preserve">), illetve </w:t>
            </w:r>
            <w:r w:rsidRPr="005D40C7">
              <w:rPr>
                <w:rFonts w:cs="Arial"/>
                <w:b/>
                <w:bCs/>
                <w:sz w:val="18"/>
                <w:szCs w:val="18"/>
              </w:rPr>
              <w:t xml:space="preserve">nem érintik </w:t>
            </w:r>
            <w:r w:rsidRPr="005D40C7">
              <w:rPr>
                <w:rFonts w:cs="Arial"/>
                <w:bCs/>
                <w:sz w:val="18"/>
                <w:szCs w:val="18"/>
              </w:rPr>
              <w:t>(</w:t>
            </w:r>
            <w:r w:rsidRPr="005D40C7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5D40C7">
              <w:rPr>
                <w:rFonts w:cs="Arial"/>
                <w:bCs/>
                <w:sz w:val="18"/>
                <w:szCs w:val="18"/>
              </w:rPr>
              <w:t>)</w:t>
            </w:r>
          </w:p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Cs/>
                <w:sz w:val="18"/>
                <w:szCs w:val="18"/>
              </w:rPr>
              <w:t xml:space="preserve">a módosítással érintett területet </w:t>
            </w:r>
            <w:r w:rsidRPr="005D40C7">
              <w:rPr>
                <w:rFonts w:cs="Arial"/>
                <w:sz w:val="18"/>
                <w:szCs w:val="18"/>
              </w:rPr>
              <w:t xml:space="preserve">az alábbiak </w:t>
            </w:r>
            <w:r w:rsidRPr="005D40C7">
              <w:rPr>
                <w:rFonts w:cs="Arial"/>
                <w:b/>
                <w:sz w:val="18"/>
                <w:szCs w:val="18"/>
              </w:rPr>
              <w:t xml:space="preserve">érintik </w:t>
            </w:r>
            <w:r w:rsidRPr="005D40C7">
              <w:rPr>
                <w:rFonts w:cs="Arial"/>
                <w:sz w:val="18"/>
                <w:szCs w:val="18"/>
              </w:rPr>
              <w:t>(</w:t>
            </w:r>
            <w:r w:rsidRPr="005D40C7">
              <w:rPr>
                <w:rFonts w:cs="Arial"/>
                <w:b/>
                <w:sz w:val="18"/>
                <w:szCs w:val="18"/>
              </w:rPr>
              <w:t>+</w:t>
            </w:r>
            <w:r w:rsidRPr="005D40C7">
              <w:rPr>
                <w:rFonts w:cs="Arial"/>
                <w:sz w:val="18"/>
                <w:szCs w:val="18"/>
              </w:rPr>
              <w:t xml:space="preserve">), illetve </w:t>
            </w:r>
            <w:r w:rsidRPr="005D40C7">
              <w:rPr>
                <w:rFonts w:cs="Arial"/>
                <w:b/>
                <w:bCs/>
                <w:sz w:val="18"/>
                <w:szCs w:val="18"/>
              </w:rPr>
              <w:t xml:space="preserve">nem érintik </w:t>
            </w:r>
            <w:r w:rsidRPr="005D40C7">
              <w:rPr>
                <w:rFonts w:cs="Arial"/>
                <w:bCs/>
                <w:sz w:val="18"/>
                <w:szCs w:val="18"/>
              </w:rPr>
              <w:t>(</w:t>
            </w:r>
            <w:r w:rsidRPr="005D40C7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5D40C7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országos területfelhasználási katagóriák</w:t>
            </w:r>
          </w:p>
        </w:tc>
        <w:tc>
          <w:tcPr>
            <w:tcW w:w="1701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Közig. terület.</w:t>
            </w:r>
          </w:p>
        </w:tc>
        <w:tc>
          <w:tcPr>
            <w:tcW w:w="1617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Módosítási terület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települési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erdőgazdálkodási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mezőgazdasági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vegyes területfelhasználású térség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FFC000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vízgazdálkodási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építmények által igénybe vett térség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C6D9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országos övezetek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17" w:type="dxa"/>
            <w:shd w:val="clear" w:color="auto" w:fill="C6D9F1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országos ökológiai hálózat </w:t>
            </w:r>
            <w:r w:rsidRPr="005D40C7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  <w:p w:rsidR="00AF7625" w:rsidRPr="005D40C7" w:rsidRDefault="00AF7625" w:rsidP="00C737AD">
            <w:pPr>
              <w:spacing w:line="276" w:lineRule="auto"/>
              <w:jc w:val="left"/>
              <w:rPr>
                <w:rFonts w:cs="Arial"/>
                <w:b/>
                <w:color w:val="1F497D"/>
                <w:sz w:val="18"/>
                <w:szCs w:val="18"/>
              </w:rPr>
            </w:pP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t>Az ökológiai hálózatot beépítésre nem szánt területfelhasználási változás nem érinti.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kiváló termőhelyi adottságú szántóterület </w:t>
            </w:r>
            <w:r w:rsidRPr="005D40C7">
              <w:rPr>
                <w:rFonts w:cs="Arial"/>
                <w:b/>
                <w:sz w:val="18"/>
                <w:szCs w:val="18"/>
              </w:rPr>
              <w:t>(FÖMI adatszolgáltatás alapján)</w:t>
            </w:r>
          </w:p>
          <w:p w:rsidR="00AF7625" w:rsidRPr="005D40C7" w:rsidRDefault="00AF7625" w:rsidP="00C737AD">
            <w:pPr>
              <w:jc w:val="left"/>
              <w:rPr>
                <w:rFonts w:cs="Arial"/>
                <w:b/>
                <w:color w:val="1F497D"/>
                <w:sz w:val="18"/>
                <w:szCs w:val="18"/>
              </w:rPr>
            </w:pP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t>Szerkezeti és szabályozási tervi módosítással érintett területet a 1.-számú területen érintett.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FFC000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jó termőhelyi adottságú szántóterület </w:t>
            </w:r>
            <w:r w:rsidRPr="005D40C7">
              <w:rPr>
                <w:rFonts w:cs="Arial"/>
                <w:b/>
                <w:sz w:val="18"/>
                <w:szCs w:val="18"/>
              </w:rPr>
              <w:t>(FÖMI adatszolgáltatás alapján)</w:t>
            </w:r>
          </w:p>
          <w:p w:rsidR="00AF7625" w:rsidRPr="00AF7625" w:rsidRDefault="00AF7625" w:rsidP="00C737AD">
            <w:pPr>
              <w:spacing w:line="276" w:lineRule="auto"/>
              <w:rPr>
                <w:rFonts w:cs="Arial"/>
                <w:b/>
                <w:color w:val="1F497D"/>
                <w:sz w:val="18"/>
                <w:szCs w:val="18"/>
              </w:rPr>
            </w:pP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t>Szerkezeti tervi módosítással érintett területet nem érint.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kiváló termőhelyi adottságú erdőterület </w:t>
            </w:r>
            <w:r w:rsidRPr="005D40C7">
              <w:rPr>
                <w:rFonts w:cs="Arial"/>
                <w:b/>
                <w:sz w:val="18"/>
                <w:szCs w:val="18"/>
              </w:rPr>
              <w:t>(NÉBIH adatszolgáltatás alapján)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1F497D"/>
                <w:sz w:val="18"/>
                <w:szCs w:val="18"/>
              </w:rPr>
              <w:t>(A szerkezeti</w:t>
            </w: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t xml:space="preserve">terv módosítás területei kiváló termőhelyi adottságú erdő </w:t>
            </w: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lastRenderedPageBreak/>
              <w:t>területeket nem érintenek. Az adatszolgáltatás szerinti erdőterületek 97,39%-ban erdő területfelhasználási és övezeti egységbe kerültek a településszerkezeti és szabályozási tervlapokon a rendeltetésüknek megfelelően.)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lastRenderedPageBreak/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lastRenderedPageBreak/>
              <w:t xml:space="preserve">tájképi szempontból kiemelten kezelendő terület övezete </w:t>
            </w:r>
            <w:r w:rsidRPr="005D40C7">
              <w:rPr>
                <w:rFonts w:cs="Arial"/>
                <w:b/>
                <w:sz w:val="18"/>
                <w:szCs w:val="18"/>
              </w:rPr>
              <w:t>(DINPI adatszolgáltatás alapján)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t>A tájképi szempontból kiemelten kezelendő terület övezete beépítésre nem szánt területfelhasználási változás nem érinti.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világörökségi és világörökségi várományos terület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országos vízminőség-védelmi terület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(Közép-Duna völgyi Vízügyi Igazgatóság adatszolgáltatása alapján)</w:t>
            </w:r>
          </w:p>
          <w:p w:rsidR="00AF7625" w:rsidRPr="005D40C7" w:rsidRDefault="00AF7625" w:rsidP="00C737AD">
            <w:pPr>
              <w:tabs>
                <w:tab w:val="left" w:pos="1"/>
              </w:tabs>
              <w:spacing w:line="276" w:lineRule="auto"/>
              <w:ind w:left="1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b/>
                <w:color w:val="1F497D"/>
                <w:sz w:val="18"/>
                <w:szCs w:val="18"/>
              </w:rPr>
              <w:t>Az országos vízminőség-védelmi terület terület övezete beépítésre nem szánt területfelhasználási változás nem érinti.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nagyvízi meder és a Vásárhelyi-terv továbbfejlesztése keretében megvalósuló vízkár-elhárítási célú szükségtározók területe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gridAfter w:val="1"/>
          <w:wAfter w:w="9" w:type="dxa"/>
          <w:jc w:val="center"/>
        </w:trPr>
        <w:tc>
          <w:tcPr>
            <w:tcW w:w="6154" w:type="dxa"/>
            <w:shd w:val="clear" w:color="auto" w:fill="FFFFFF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kiemelt fontosságú honvédelmi terület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9481" w:type="dxa"/>
            <w:gridSpan w:val="4"/>
            <w:shd w:val="clear" w:color="auto" w:fill="DBE5F1"/>
            <w:vAlign w:val="center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bookmarkStart w:id="26" w:name="_Toc324851682"/>
            <w:r w:rsidRPr="005D40C7">
              <w:rPr>
                <w:rFonts w:cs="Arial"/>
                <w:b/>
                <w:sz w:val="18"/>
                <w:szCs w:val="18"/>
              </w:rPr>
              <w:t>Pest Megye Területrendezési Terv</w:t>
            </w:r>
            <w:bookmarkEnd w:id="26"/>
          </w:p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kiemelt térségi területfelhasználási / övezeti érintettség</w:t>
            </w:r>
          </w:p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a közigazgatási területet az alábbiak érintik (+), illetve nem érintik (-)</w:t>
            </w:r>
          </w:p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5D40C7">
              <w:rPr>
                <w:rFonts w:cs="Arial"/>
                <w:bCs/>
                <w:sz w:val="18"/>
                <w:szCs w:val="18"/>
              </w:rPr>
              <w:t xml:space="preserve">a módosítással érintett területet </w:t>
            </w:r>
            <w:r w:rsidRPr="005D40C7">
              <w:rPr>
                <w:rFonts w:cs="Arial"/>
                <w:sz w:val="18"/>
                <w:szCs w:val="18"/>
              </w:rPr>
              <w:t xml:space="preserve">az alábbiak </w:t>
            </w:r>
            <w:r w:rsidRPr="005D40C7">
              <w:rPr>
                <w:rFonts w:cs="Arial"/>
                <w:b/>
                <w:sz w:val="18"/>
                <w:szCs w:val="18"/>
              </w:rPr>
              <w:t xml:space="preserve">érintik </w:t>
            </w:r>
            <w:r w:rsidRPr="005D40C7">
              <w:rPr>
                <w:rFonts w:cs="Arial"/>
                <w:sz w:val="18"/>
                <w:szCs w:val="18"/>
              </w:rPr>
              <w:t>(</w:t>
            </w:r>
            <w:r w:rsidRPr="005D40C7">
              <w:rPr>
                <w:rFonts w:cs="Arial"/>
                <w:b/>
                <w:sz w:val="18"/>
                <w:szCs w:val="18"/>
              </w:rPr>
              <w:t>+</w:t>
            </w:r>
            <w:r w:rsidRPr="005D40C7">
              <w:rPr>
                <w:rFonts w:cs="Arial"/>
                <w:sz w:val="18"/>
                <w:szCs w:val="18"/>
              </w:rPr>
              <w:t xml:space="preserve">), illetve </w:t>
            </w:r>
            <w:r w:rsidRPr="005D40C7">
              <w:rPr>
                <w:rFonts w:cs="Arial"/>
                <w:b/>
                <w:bCs/>
                <w:sz w:val="18"/>
                <w:szCs w:val="18"/>
              </w:rPr>
              <w:t xml:space="preserve">nem érintik </w:t>
            </w:r>
            <w:r w:rsidRPr="005D40C7">
              <w:rPr>
                <w:rFonts w:cs="Arial"/>
                <w:bCs/>
                <w:sz w:val="18"/>
                <w:szCs w:val="18"/>
              </w:rPr>
              <w:t>(</w:t>
            </w:r>
            <w:r w:rsidRPr="005D40C7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5D40C7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kiemelt térségi területfelhasználási kategóriák</w:t>
            </w:r>
          </w:p>
        </w:tc>
        <w:tc>
          <w:tcPr>
            <w:tcW w:w="1701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Közig. terület.</w:t>
            </w:r>
          </w:p>
        </w:tc>
        <w:tc>
          <w:tcPr>
            <w:tcW w:w="1621" w:type="dxa"/>
            <w:gridSpan w:val="2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Módosítási terület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városias települési térség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hagyományosan vidéki települési térség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építmények által igénybe vett térség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vegyes területfelhasználású térség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erdőgazdálkodási térség 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mezőgazdasági térség</w:t>
            </w:r>
          </w:p>
        </w:tc>
        <w:tc>
          <w:tcPr>
            <w:tcW w:w="1701" w:type="dxa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vízgazdálkodási térség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térségi övezetek</w:t>
            </w:r>
          </w:p>
        </w:tc>
        <w:tc>
          <w:tcPr>
            <w:tcW w:w="1701" w:type="dxa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21" w:type="dxa"/>
            <w:gridSpan w:val="2"/>
            <w:shd w:val="clear" w:color="auto" w:fill="DBE5F1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magterület övezete </w:t>
            </w:r>
            <w:r w:rsidRPr="005D40C7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ökológiai folyosó övezete </w:t>
            </w:r>
            <w:r w:rsidRPr="005D40C7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 xml:space="preserve">puffer terület övezete </w:t>
            </w:r>
            <w:r w:rsidRPr="005D40C7">
              <w:rPr>
                <w:rFonts w:cs="Arial"/>
                <w:b/>
                <w:i/>
                <w:sz w:val="18"/>
                <w:szCs w:val="18"/>
              </w:rPr>
              <w:t>(DINPI adatszolgáltatás alapján)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Erdőtelepítésre elsődlegesen és másodlagosan javasolt erdőterület FÖMI adatszolgáltatás alapján mutatjuk be.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A módosítással érintett területeket nem érinti.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rendszeresen belvízjárta terület övezete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3376D0">
        <w:trPr>
          <w:trHeight w:val="283"/>
          <w:jc w:val="center"/>
        </w:trPr>
        <w:tc>
          <w:tcPr>
            <w:tcW w:w="6159" w:type="dxa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földtani veszélyforrás területének övezete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 xml:space="preserve">(a PM Bányászati Osztálya nem szolgáltatott adatot. ) 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Nyilvántartott bányaterület vagy csúszásveszélyes terület nincs nyilvántartva Sülysápon.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(</w:t>
            </w:r>
            <w:r w:rsidRPr="005D40C7">
              <w:rPr>
                <w:rFonts w:cs="Arial"/>
                <w:i/>
                <w:sz w:val="18"/>
                <w:szCs w:val="18"/>
              </w:rPr>
              <w:t>A helyi építési szabályzatban az építési övezetre vagy övezetre vonatkozóan a szabályozási terven az arra érdemes területeken a partfalak megerősítésének jelölése javasolt.)</w:t>
            </w:r>
          </w:p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621" w:type="dxa"/>
            <w:gridSpan w:val="2"/>
            <w:shd w:val="clear" w:color="auto" w:fill="FFC000"/>
          </w:tcPr>
          <w:p w:rsidR="00AF7625" w:rsidRPr="005D40C7" w:rsidRDefault="003376D0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kiemelt fontosságú meglévő honvédelmi terület övezete (névváltozás:</w:t>
            </w:r>
            <w:r w:rsidRPr="005D40C7">
              <w:rPr>
                <w:rFonts w:cs="Arial"/>
                <w:color w:val="C0504D"/>
                <w:sz w:val="18"/>
                <w:szCs w:val="18"/>
              </w:rPr>
              <w:t xml:space="preserve"> </w:t>
            </w:r>
            <w:r w:rsidRPr="005D40C7">
              <w:rPr>
                <w:rFonts w:cs="Arial"/>
                <w:sz w:val="18"/>
                <w:szCs w:val="18"/>
              </w:rPr>
              <w:t>kiemelt fontosságú honvédelmi terület)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1" w:type="dxa"/>
            <w:gridSpan w:val="2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  <w:tr w:rsidR="00AF7625" w:rsidRPr="008D3755" w:rsidTr="00C737AD">
        <w:trPr>
          <w:trHeight w:val="283"/>
          <w:jc w:val="center"/>
        </w:trPr>
        <w:tc>
          <w:tcPr>
            <w:tcW w:w="6159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5D40C7">
              <w:rPr>
                <w:rFonts w:cs="Arial"/>
                <w:sz w:val="18"/>
                <w:szCs w:val="18"/>
              </w:rPr>
              <w:t>honvédelmi terület övezete</w:t>
            </w:r>
          </w:p>
        </w:tc>
        <w:tc>
          <w:tcPr>
            <w:tcW w:w="1701" w:type="dxa"/>
            <w:shd w:val="clear" w:color="auto" w:fill="auto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0C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1" w:type="dxa"/>
            <w:gridSpan w:val="2"/>
          </w:tcPr>
          <w:p w:rsidR="00AF7625" w:rsidRPr="005D40C7" w:rsidRDefault="00AF7625" w:rsidP="00C737A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D40C7">
              <w:rPr>
                <w:rFonts w:cs="Arial"/>
                <w:b/>
                <w:sz w:val="18"/>
                <w:szCs w:val="18"/>
              </w:rPr>
              <w:t>--</w:t>
            </w:r>
          </w:p>
        </w:tc>
      </w:tr>
    </w:tbl>
    <w:p w:rsidR="00AF7625" w:rsidRPr="008D3755" w:rsidRDefault="00AF7625" w:rsidP="00AF7625">
      <w:pPr>
        <w:spacing w:line="276" w:lineRule="auto"/>
        <w:rPr>
          <w:rFonts w:cs="Arial"/>
          <w:highlight w:val="yellow"/>
        </w:rPr>
      </w:pPr>
    </w:p>
    <w:p w:rsidR="001979AB" w:rsidRPr="001979AB" w:rsidRDefault="001979AB" w:rsidP="001979AB">
      <w:pPr>
        <w:rPr>
          <w:rFonts w:cs="Arial"/>
          <w:sz w:val="22"/>
          <w:szCs w:val="22"/>
        </w:rPr>
      </w:pPr>
      <w:r w:rsidRPr="001979AB">
        <w:rPr>
          <w:rFonts w:cs="Arial"/>
          <w:sz w:val="22"/>
          <w:szCs w:val="22"/>
        </w:rPr>
        <w:t>Az övezeti tervlapok alapján megállapítható, hogy Sülysáp módosítási területeit az OTrT szerint két térségi övezetet érint, a PMTrT alapján két térségi övezetet érint.</w:t>
      </w:r>
    </w:p>
    <w:p w:rsidR="001979AB" w:rsidRPr="001979AB" w:rsidRDefault="001979AB" w:rsidP="001979AB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1979AB">
        <w:rPr>
          <w:rFonts w:cs="Arial"/>
          <w:sz w:val="22"/>
          <w:szCs w:val="22"/>
        </w:rPr>
        <w:t>kiváló termőhelyi adottságú szántóterület övezete (FÖMI adatok alapján)</w:t>
      </w:r>
    </w:p>
    <w:p w:rsidR="001979AB" w:rsidRPr="001979AB" w:rsidRDefault="001979AB" w:rsidP="001979AB">
      <w:pPr>
        <w:pStyle w:val="Listaszerbekezds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8222"/>
        </w:tabs>
        <w:spacing w:line="276" w:lineRule="auto"/>
        <w:contextualSpacing/>
        <w:rPr>
          <w:rFonts w:cs="Arial"/>
          <w:sz w:val="22"/>
          <w:szCs w:val="22"/>
        </w:rPr>
      </w:pPr>
      <w:r w:rsidRPr="001979AB">
        <w:rPr>
          <w:rFonts w:cs="Arial"/>
          <w:sz w:val="22"/>
          <w:szCs w:val="22"/>
        </w:rPr>
        <w:t>földtani veszélyforrás területének övezete (PMTrT lehatárolás alapján)</w:t>
      </w:r>
    </w:p>
    <w:p w:rsidR="007350D1" w:rsidRDefault="007350D1" w:rsidP="001979AB">
      <w:pPr>
        <w:rPr>
          <w:rFonts w:cs="Arial"/>
          <w:bCs/>
          <w:noProof/>
          <w:sz w:val="22"/>
          <w:szCs w:val="22"/>
        </w:rPr>
      </w:pPr>
    </w:p>
    <w:p w:rsidR="001979AB" w:rsidRPr="001979AB" w:rsidRDefault="001979AB" w:rsidP="001979AB">
      <w:pPr>
        <w:rPr>
          <w:rFonts w:cs="Arial"/>
          <w:bCs/>
          <w:noProof/>
          <w:sz w:val="22"/>
          <w:szCs w:val="22"/>
        </w:rPr>
      </w:pPr>
      <w:r w:rsidRPr="001979AB">
        <w:rPr>
          <w:rFonts w:cs="Arial"/>
          <w:bCs/>
          <w:noProof/>
          <w:sz w:val="22"/>
          <w:szCs w:val="22"/>
        </w:rPr>
        <w:lastRenderedPageBreak/>
        <w:t>OTrT:”</w:t>
      </w:r>
      <w:r w:rsidRPr="001979AB">
        <w:rPr>
          <w:sz w:val="22"/>
          <w:szCs w:val="22"/>
        </w:rPr>
        <w:t xml:space="preserve"> </w:t>
      </w:r>
      <w:r w:rsidRPr="001979AB">
        <w:rPr>
          <w:rFonts w:cs="Arial"/>
          <w:bCs/>
          <w:noProof/>
          <w:sz w:val="22"/>
          <w:szCs w:val="22"/>
        </w:rPr>
        <w:t>13/A. § *  (1) Kiváló termőhelyi adottságú szántóterület övezetében beépítésre szánt terület csak kivételesen, egyéb lehetőség hiányában területrendezési hatósági eljárás alapján jelölhető ki.</w:t>
      </w:r>
    </w:p>
    <w:p w:rsidR="001979AB" w:rsidRPr="00EB577D" w:rsidRDefault="001979AB" w:rsidP="001979AB">
      <w:pPr>
        <w:rPr>
          <w:rFonts w:cs="Arial"/>
          <w:bCs/>
          <w:noProof/>
          <w:sz w:val="22"/>
          <w:szCs w:val="22"/>
        </w:rPr>
      </w:pPr>
      <w:r w:rsidRPr="001979AB">
        <w:rPr>
          <w:rFonts w:cs="Arial"/>
          <w:bCs/>
          <w:noProof/>
          <w:sz w:val="22"/>
          <w:szCs w:val="22"/>
        </w:rPr>
        <w:t>(2) Az övezetben külszíni bányatelket megállapítani</w:t>
      </w:r>
      <w:r w:rsidRPr="00EB577D">
        <w:rPr>
          <w:rFonts w:cs="Arial"/>
          <w:bCs/>
          <w:noProof/>
          <w:sz w:val="22"/>
          <w:szCs w:val="22"/>
        </w:rPr>
        <w:t xml:space="preserve"> és bányászati tevékenységet engedélyezni a bányászati szempontból kivett helyekre vonatkozó szabályok szerint lehet.”</w:t>
      </w:r>
    </w:p>
    <w:p w:rsidR="007350D1" w:rsidRPr="00EB577D" w:rsidRDefault="007350D1" w:rsidP="007350D1">
      <w:pPr>
        <w:rPr>
          <w:rFonts w:cs="Arial"/>
          <w:bCs/>
          <w:noProof/>
          <w:sz w:val="22"/>
          <w:szCs w:val="22"/>
        </w:rPr>
      </w:pPr>
      <w:r w:rsidRPr="00EB577D">
        <w:rPr>
          <w:rFonts w:cs="Arial"/>
          <w:bCs/>
          <w:noProof/>
          <w:sz w:val="22"/>
          <w:szCs w:val="22"/>
        </w:rPr>
        <w:t xml:space="preserve">A térségi övezet a FÖMI adatok alapján került meghatározásra. A FÖMI adatok alapján az 1. számú módosítási területet érinti a </w:t>
      </w:r>
      <w:r w:rsidRPr="00EB577D">
        <w:rPr>
          <w:rFonts w:cs="Arial"/>
          <w:bCs/>
          <w:i/>
          <w:noProof/>
          <w:sz w:val="22"/>
          <w:szCs w:val="22"/>
        </w:rPr>
        <w:t>kiváló termőhelyi adottságú szántóterület</w:t>
      </w:r>
      <w:r w:rsidRPr="00EB577D">
        <w:rPr>
          <w:rFonts w:cs="Arial"/>
          <w:bCs/>
          <w:noProof/>
          <w:sz w:val="22"/>
          <w:szCs w:val="22"/>
        </w:rPr>
        <w:t xml:space="preserve"> övezete. A tervezett napelem-park beépítésre nem szánt területen valósul meg a kiváló termőhelyi adottságú szántóterület övezetre vonatkozó törvényi előírásokkal nem ütközik. A terv termőhelyi szempontból megfelel.</w:t>
      </w:r>
    </w:p>
    <w:p w:rsidR="001979AB" w:rsidRPr="00EB577D" w:rsidRDefault="007350D1" w:rsidP="001979AB">
      <w:pPr>
        <w:rPr>
          <w:rFonts w:cs="Arial"/>
          <w:bCs/>
          <w:noProof/>
          <w:sz w:val="22"/>
          <w:szCs w:val="22"/>
        </w:rPr>
      </w:pPr>
      <w:r w:rsidRPr="00EB577D">
        <w:rPr>
          <w:rFonts w:cs="Arial"/>
          <w:bCs/>
          <w:noProof/>
          <w:sz w:val="22"/>
          <w:szCs w:val="22"/>
        </w:rPr>
        <w:t>A PMKH Földhivatali Főosztály 2016. évi adatszolgáltatása alapján Sülysáp közigazgatási területén a az 1., 2. és 3. minőségi sztályú szántó tartozik az átlagnál jobb minőségű szántóterületek közé. A jelen tervmódosításhoz kapott megbízói adatszolgáltatás változási vázrajza a az 1. számú módosítási területet szántó 4.,5.,és 6. minőségi osztályba sololja. Vagyis a terület átlagosnál jobb minőségű termőhelyi adottságú szántó területet nem érint, így a Földtörvényi előírásokba sem ütközik.</w:t>
      </w:r>
    </w:p>
    <w:p w:rsidR="007350D1" w:rsidRPr="00EB577D" w:rsidRDefault="007350D1" w:rsidP="001979AB">
      <w:pPr>
        <w:rPr>
          <w:rFonts w:cs="Arial"/>
          <w:bCs/>
          <w:noProof/>
          <w:sz w:val="22"/>
          <w:szCs w:val="22"/>
        </w:rPr>
      </w:pPr>
    </w:p>
    <w:p w:rsidR="001979AB" w:rsidRPr="001979AB" w:rsidRDefault="001979AB" w:rsidP="001979AB">
      <w:pPr>
        <w:rPr>
          <w:rFonts w:cs="Arial"/>
          <w:bCs/>
          <w:noProof/>
          <w:sz w:val="22"/>
          <w:szCs w:val="22"/>
        </w:rPr>
      </w:pPr>
      <w:r w:rsidRPr="00EB577D">
        <w:rPr>
          <w:rFonts w:cs="Arial"/>
          <w:bCs/>
          <w:noProof/>
          <w:sz w:val="22"/>
          <w:szCs w:val="22"/>
        </w:rPr>
        <w:t>OTrT: „25. § *  (1) A földtani veszélyforrás területének övezetét a településr</w:t>
      </w:r>
      <w:r w:rsidRPr="001979AB">
        <w:rPr>
          <w:rFonts w:cs="Arial"/>
          <w:bCs/>
          <w:noProof/>
          <w:sz w:val="22"/>
          <w:szCs w:val="22"/>
        </w:rPr>
        <w:t>endezési eszközökben kell a tényleges kiterjedésnek megfelelően lehatárolni.</w:t>
      </w:r>
    </w:p>
    <w:p w:rsidR="001979AB" w:rsidRPr="001979AB" w:rsidRDefault="001979AB" w:rsidP="001979AB">
      <w:pPr>
        <w:rPr>
          <w:rFonts w:cs="Arial"/>
          <w:bCs/>
          <w:noProof/>
          <w:sz w:val="22"/>
          <w:szCs w:val="22"/>
        </w:rPr>
      </w:pPr>
      <w:r w:rsidRPr="001979AB">
        <w:rPr>
          <w:rFonts w:cs="Arial"/>
          <w:bCs/>
          <w:noProof/>
          <w:sz w:val="22"/>
          <w:szCs w:val="22"/>
        </w:rPr>
        <w:t>(2) Az övezet területén új beépítésre szánt terület csak akkor jelölhető ki, ha ahhoz a bányafelügyelet a településrendezési eszközök egyeztetési eljárása során adott véleményében hozzájárul.”</w:t>
      </w:r>
    </w:p>
    <w:p w:rsidR="001979AB" w:rsidRPr="001979AB" w:rsidRDefault="001979AB" w:rsidP="001979AB">
      <w:pPr>
        <w:rPr>
          <w:rFonts w:cs="Arial"/>
          <w:bCs/>
          <w:noProof/>
          <w:sz w:val="22"/>
          <w:szCs w:val="22"/>
        </w:rPr>
      </w:pPr>
      <w:r w:rsidRPr="001979AB">
        <w:rPr>
          <w:rFonts w:cs="Arial"/>
          <w:bCs/>
          <w:noProof/>
          <w:sz w:val="22"/>
          <w:szCs w:val="22"/>
        </w:rPr>
        <w:t>A térségi övezet közig. határosan került meghatározásra, a közig terület tervezéssel érintett részén földtani veszélyeztetettség a tervezési területen nem ismert.. A tervezett napelem-park beépítésre nem szánt területen valósul meg a földtani veszélyforrás övezetre vonatkozó törvényi előírásokkal nem ütközik. A terv földtani szempontból megfelel.</w:t>
      </w:r>
    </w:p>
    <w:p w:rsidR="001979AB" w:rsidRPr="001979AB" w:rsidRDefault="001979AB" w:rsidP="001979AB">
      <w:pPr>
        <w:rPr>
          <w:rFonts w:cs="Arial"/>
          <w:b/>
          <w:bCs/>
          <w:noProof/>
          <w:sz w:val="22"/>
          <w:szCs w:val="22"/>
        </w:rPr>
      </w:pPr>
      <w:r w:rsidRPr="001979AB">
        <w:rPr>
          <w:rFonts w:cs="Arial"/>
          <w:b/>
          <w:bCs/>
          <w:noProof/>
          <w:sz w:val="22"/>
          <w:szCs w:val="22"/>
        </w:rPr>
        <w:t xml:space="preserve">A fentiek alapján tehát a módosítási területek övezeti érintettsége a </w:t>
      </w:r>
      <w:r w:rsidRPr="001979AB">
        <w:rPr>
          <w:rFonts w:cs="Arial"/>
          <w:b/>
          <w:sz w:val="22"/>
          <w:szCs w:val="22"/>
        </w:rPr>
        <w:t>Pest megye 5/2012.(V.10.) sz. önkormányzati</w:t>
      </w:r>
      <w:r w:rsidRPr="001979AB">
        <w:rPr>
          <w:rFonts w:cs="Arial"/>
          <w:sz w:val="22"/>
          <w:szCs w:val="22"/>
        </w:rPr>
        <w:t xml:space="preserve"> </w:t>
      </w:r>
      <w:r w:rsidRPr="001979AB">
        <w:rPr>
          <w:rFonts w:cs="Arial"/>
          <w:b/>
          <w:sz w:val="22"/>
          <w:szCs w:val="22"/>
        </w:rPr>
        <w:t>rendelettel</w:t>
      </w:r>
      <w:r w:rsidRPr="001979AB">
        <w:rPr>
          <w:rFonts w:cs="Arial"/>
          <w:b/>
          <w:bCs/>
          <w:noProof/>
          <w:sz w:val="22"/>
          <w:szCs w:val="22"/>
        </w:rPr>
        <w:t xml:space="preserve">, illetve a </w:t>
      </w:r>
      <w:r w:rsidRPr="001979AB">
        <w:rPr>
          <w:b/>
          <w:bCs/>
          <w:sz w:val="22"/>
          <w:szCs w:val="22"/>
        </w:rPr>
        <w:t>2003. évi XXVI. törvény (OTrT)</w:t>
      </w:r>
      <w:r w:rsidRPr="001979AB">
        <w:rPr>
          <w:rFonts w:cs="Arial"/>
          <w:b/>
          <w:bCs/>
          <w:noProof/>
          <w:sz w:val="22"/>
          <w:szCs w:val="22"/>
        </w:rPr>
        <w:t xml:space="preserve"> előírásaival nem ellentétes.</w:t>
      </w:r>
    </w:p>
    <w:p w:rsidR="00AB1865" w:rsidRPr="00D261AE" w:rsidRDefault="00AB1865" w:rsidP="00027837">
      <w:pPr>
        <w:pStyle w:val="lfej"/>
        <w:spacing w:line="276" w:lineRule="auto"/>
        <w:rPr>
          <w:rFonts w:ascii="Calibri" w:hAnsi="Calibri" w:cs="Arial"/>
          <w:sz w:val="20"/>
        </w:rPr>
      </w:pPr>
    </w:p>
    <w:p w:rsidR="00921168" w:rsidRPr="00D261AE" w:rsidRDefault="00921168" w:rsidP="00412B21">
      <w:pPr>
        <w:pStyle w:val="Cmsor1"/>
      </w:pPr>
      <w:bookmarkStart w:id="27" w:name="_Toc481057246"/>
      <w:r w:rsidRPr="00D261AE">
        <w:t>A BIOLÓGIAI AKTIVITÁSÉRTÉK EGYENLEGE</w:t>
      </w:r>
      <w:bookmarkEnd w:id="27"/>
    </w:p>
    <w:p w:rsidR="00921168" w:rsidRPr="007350D1" w:rsidRDefault="00921168" w:rsidP="00921168">
      <w:pPr>
        <w:rPr>
          <w:rFonts w:cs="Arial"/>
          <w:color w:val="17365D" w:themeColor="text2" w:themeShade="BF"/>
        </w:rPr>
      </w:pPr>
    </w:p>
    <w:p w:rsidR="005028E9" w:rsidRPr="00EB577D" w:rsidRDefault="00027837" w:rsidP="00027837">
      <w:pPr>
        <w:spacing w:line="276" w:lineRule="auto"/>
        <w:rPr>
          <w:rFonts w:cs="Arial"/>
          <w:sz w:val="22"/>
          <w:szCs w:val="22"/>
        </w:rPr>
      </w:pPr>
      <w:r w:rsidRPr="00EB577D">
        <w:rPr>
          <w:rFonts w:cs="Arial"/>
          <w:sz w:val="22"/>
          <w:szCs w:val="22"/>
        </w:rPr>
        <w:t>A jelen eljárás keretében történő</w:t>
      </w:r>
      <w:r w:rsidRPr="00EB577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AB1865" w:rsidRPr="00EB577D">
        <w:rPr>
          <w:rFonts w:cs="Arial"/>
          <w:sz w:val="22"/>
          <w:szCs w:val="22"/>
        </w:rPr>
        <w:t xml:space="preserve">területfelhasználási átsorolás </w:t>
      </w:r>
      <w:r w:rsidR="005028E9" w:rsidRPr="00EB577D">
        <w:rPr>
          <w:rFonts w:cs="Arial"/>
          <w:i/>
          <w:sz w:val="22"/>
          <w:szCs w:val="22"/>
        </w:rPr>
        <w:t>új beépítésre szánt terület nem kerül kijelölésre</w:t>
      </w:r>
      <w:r w:rsidR="005028E9" w:rsidRPr="00EB577D">
        <w:rPr>
          <w:rFonts w:cs="Arial"/>
          <w:sz w:val="22"/>
          <w:szCs w:val="22"/>
        </w:rPr>
        <w:t xml:space="preserve">, </w:t>
      </w:r>
      <w:r w:rsidR="00AB1865" w:rsidRPr="00EB577D">
        <w:rPr>
          <w:rFonts w:cs="Arial"/>
          <w:sz w:val="22"/>
          <w:szCs w:val="22"/>
        </w:rPr>
        <w:t xml:space="preserve">kizárólag </w:t>
      </w:r>
      <w:r w:rsidR="00AB1865" w:rsidRPr="00EB577D">
        <w:rPr>
          <w:rFonts w:cs="Arial"/>
          <w:i/>
          <w:sz w:val="22"/>
          <w:szCs w:val="22"/>
        </w:rPr>
        <w:t>beépítésre nem szánt</w:t>
      </w:r>
      <w:r w:rsidRPr="00EB577D">
        <w:rPr>
          <w:rFonts w:cs="Arial"/>
          <w:i/>
          <w:sz w:val="22"/>
          <w:szCs w:val="22"/>
        </w:rPr>
        <w:t xml:space="preserve"> </w:t>
      </w:r>
      <w:r w:rsidR="00D261AE" w:rsidRPr="00EB577D">
        <w:rPr>
          <w:rFonts w:cs="Arial"/>
          <w:i/>
          <w:sz w:val="22"/>
          <w:szCs w:val="22"/>
        </w:rPr>
        <w:t>különleges</w:t>
      </w:r>
      <w:r w:rsidRPr="00EB577D">
        <w:rPr>
          <w:rFonts w:cs="Arial"/>
          <w:sz w:val="22"/>
          <w:szCs w:val="22"/>
        </w:rPr>
        <w:t xml:space="preserve"> </w:t>
      </w:r>
      <w:r w:rsidRPr="00EB577D">
        <w:rPr>
          <w:rFonts w:cs="Arial"/>
          <w:i/>
          <w:sz w:val="22"/>
          <w:szCs w:val="22"/>
        </w:rPr>
        <w:t>terület</w:t>
      </w:r>
      <w:r w:rsidR="005028E9" w:rsidRPr="00EB577D">
        <w:rPr>
          <w:rFonts w:cs="Arial"/>
          <w:i/>
          <w:sz w:val="22"/>
          <w:szCs w:val="22"/>
        </w:rPr>
        <w:t>i</w:t>
      </w:r>
      <w:r w:rsidRPr="00EB577D">
        <w:rPr>
          <w:rFonts w:cs="Arial"/>
          <w:sz w:val="22"/>
          <w:szCs w:val="22"/>
        </w:rPr>
        <w:t xml:space="preserve"> </w:t>
      </w:r>
      <w:r w:rsidR="005028E9" w:rsidRPr="00EB577D">
        <w:rPr>
          <w:rFonts w:cs="Arial"/>
          <w:sz w:val="22"/>
          <w:szCs w:val="22"/>
        </w:rPr>
        <w:t>övezeti átsorolást tesz szükségessé</w:t>
      </w:r>
      <w:r w:rsidR="00627942" w:rsidRPr="00EB577D">
        <w:rPr>
          <w:rFonts w:cs="Arial"/>
          <w:sz w:val="22"/>
          <w:szCs w:val="22"/>
        </w:rPr>
        <w:t>.</w:t>
      </w:r>
      <w:r w:rsidRPr="00EB577D">
        <w:rPr>
          <w:rFonts w:cs="Arial"/>
          <w:sz w:val="22"/>
          <w:szCs w:val="22"/>
        </w:rPr>
        <w:t xml:space="preserve"> </w:t>
      </w:r>
    </w:p>
    <w:p w:rsidR="00027837" w:rsidRPr="00EB577D" w:rsidRDefault="005028E9" w:rsidP="00027837">
      <w:pPr>
        <w:spacing w:line="276" w:lineRule="auto"/>
        <w:rPr>
          <w:rFonts w:cs="Arial"/>
          <w:sz w:val="22"/>
          <w:szCs w:val="22"/>
        </w:rPr>
      </w:pPr>
      <w:r w:rsidRPr="00EB577D">
        <w:rPr>
          <w:rFonts w:cs="Arial"/>
          <w:sz w:val="22"/>
          <w:szCs w:val="22"/>
        </w:rPr>
        <w:t>A b</w:t>
      </w:r>
      <w:r w:rsidR="00027837" w:rsidRPr="00EB577D">
        <w:rPr>
          <w:rFonts w:cs="Arial"/>
          <w:sz w:val="22"/>
          <w:szCs w:val="22"/>
        </w:rPr>
        <w:t>iológiai aktivitásérték változás</w:t>
      </w:r>
      <w:r w:rsidRPr="00EB577D">
        <w:rPr>
          <w:rFonts w:cs="Arial"/>
          <w:sz w:val="22"/>
          <w:szCs w:val="22"/>
        </w:rPr>
        <w:t>ának</w:t>
      </w:r>
      <w:r w:rsidR="00627942" w:rsidRPr="00EB577D">
        <w:rPr>
          <w:rFonts w:cs="Arial"/>
          <w:sz w:val="22"/>
          <w:szCs w:val="22"/>
        </w:rPr>
        <w:t xml:space="preserve"> </w:t>
      </w:r>
      <w:r w:rsidR="00027837" w:rsidRPr="00EB577D">
        <w:rPr>
          <w:rFonts w:cs="Arial"/>
          <w:sz w:val="22"/>
          <w:szCs w:val="22"/>
        </w:rPr>
        <w:t>számítás</w:t>
      </w:r>
      <w:r w:rsidRPr="00EB577D">
        <w:rPr>
          <w:rFonts w:cs="Arial"/>
          <w:sz w:val="22"/>
          <w:szCs w:val="22"/>
        </w:rPr>
        <w:t>a</w:t>
      </w:r>
      <w:r w:rsidR="00027837" w:rsidRPr="00EB577D">
        <w:rPr>
          <w:rFonts w:cs="Arial"/>
          <w:sz w:val="22"/>
          <w:szCs w:val="22"/>
        </w:rPr>
        <w:t xml:space="preserve"> és </w:t>
      </w:r>
      <w:r w:rsidR="00627942" w:rsidRPr="00EB577D">
        <w:rPr>
          <w:rFonts w:cs="Arial"/>
          <w:sz w:val="22"/>
          <w:szCs w:val="22"/>
        </w:rPr>
        <w:t xml:space="preserve">egyenleg </w:t>
      </w:r>
      <w:r w:rsidR="00027837" w:rsidRPr="00EB577D">
        <w:rPr>
          <w:rFonts w:cs="Arial"/>
          <w:sz w:val="22"/>
          <w:szCs w:val="22"/>
        </w:rPr>
        <w:t xml:space="preserve">kompenzáció a </w:t>
      </w:r>
      <w:r w:rsidR="00627942" w:rsidRPr="00EB577D">
        <w:rPr>
          <w:sz w:val="22"/>
          <w:szCs w:val="22"/>
        </w:rPr>
        <w:t xml:space="preserve">1997. évi LXXVIII. tv. (Étv) 7.§ (3) bek. b) pontja szerint </w:t>
      </w:r>
      <w:r w:rsidR="00627942" w:rsidRPr="00EB577D">
        <w:rPr>
          <w:rFonts w:cs="Arial"/>
          <w:sz w:val="22"/>
          <w:szCs w:val="22"/>
        </w:rPr>
        <w:t xml:space="preserve">jelen </w:t>
      </w:r>
      <w:r w:rsidR="00D261AE" w:rsidRPr="00EB577D">
        <w:rPr>
          <w:rFonts w:cs="Arial"/>
          <w:sz w:val="22"/>
          <w:szCs w:val="22"/>
        </w:rPr>
        <w:t xml:space="preserve">módosítás kapcsán </w:t>
      </w:r>
      <w:r w:rsidR="00027837" w:rsidRPr="00EB577D">
        <w:rPr>
          <w:rFonts w:cs="Arial"/>
          <w:sz w:val="22"/>
          <w:szCs w:val="22"/>
        </w:rPr>
        <w:t>nem szükséges</w:t>
      </w:r>
      <w:r w:rsidRPr="00EB577D">
        <w:rPr>
          <w:rFonts w:cs="Arial"/>
          <w:sz w:val="22"/>
          <w:szCs w:val="22"/>
        </w:rPr>
        <w:t>,</w:t>
      </w:r>
      <w:r w:rsidR="00D261AE" w:rsidRPr="00EB577D">
        <w:rPr>
          <w:rFonts w:cs="Arial"/>
          <w:sz w:val="22"/>
          <w:szCs w:val="22"/>
        </w:rPr>
        <w:t xml:space="preserve"> a tervmódosítás a törvényi előírásnak megfelel.</w:t>
      </w:r>
    </w:p>
    <w:p w:rsidR="00027837" w:rsidRPr="00EB577D" w:rsidRDefault="00027837" w:rsidP="00027837">
      <w:pPr>
        <w:spacing w:line="276" w:lineRule="auto"/>
        <w:rPr>
          <w:rFonts w:asciiTheme="minorHAnsi" w:hAnsiTheme="minorHAnsi" w:cs="Arial"/>
        </w:rPr>
      </w:pPr>
    </w:p>
    <w:p w:rsidR="00921168" w:rsidRPr="00EB577D" w:rsidRDefault="00921168" w:rsidP="00921168"/>
    <w:p w:rsidR="00412B21" w:rsidRPr="00EB577D" w:rsidRDefault="00412B21" w:rsidP="00921168">
      <w:pPr>
        <w:rPr>
          <w:highlight w:val="yellow"/>
        </w:rPr>
      </w:pPr>
    </w:p>
    <w:p w:rsidR="00412B21" w:rsidRPr="00EB577D" w:rsidRDefault="00412B21" w:rsidP="00921168">
      <w:bookmarkStart w:id="28" w:name="_GoBack"/>
      <w:bookmarkEnd w:id="28"/>
    </w:p>
    <w:p w:rsidR="00412B21" w:rsidRPr="00A55645" w:rsidRDefault="00412B21" w:rsidP="00921168"/>
    <w:p w:rsidR="00412B21" w:rsidRPr="00A55645" w:rsidRDefault="00412B21" w:rsidP="00921168"/>
    <w:p w:rsidR="00921168" w:rsidRPr="00A55645" w:rsidRDefault="00921168" w:rsidP="00921168"/>
    <w:p w:rsidR="00921168" w:rsidRPr="00A55645" w:rsidRDefault="00921168" w:rsidP="00921168"/>
    <w:p w:rsidR="00921168" w:rsidRPr="00A55645" w:rsidRDefault="00921168" w:rsidP="00921168"/>
    <w:p w:rsidR="00921168" w:rsidRPr="00A55645" w:rsidRDefault="00DA45A7" w:rsidP="00921168">
      <w:pPr>
        <w:jc w:val="center"/>
        <w:rPr>
          <w:rFonts w:cs="Arial"/>
        </w:rPr>
      </w:pPr>
      <w:r w:rsidRPr="00A55645">
        <w:rPr>
          <w:rFonts w:cs="Arial"/>
        </w:rPr>
        <w:t>………………………………………………………….</w:t>
      </w:r>
      <w:r w:rsidR="00921168" w:rsidRPr="00A55645">
        <w:rPr>
          <w:rFonts w:cs="Arial"/>
        </w:rPr>
        <w:t xml:space="preserve"> határozat 2 számú melléklete</w:t>
      </w:r>
    </w:p>
    <w:p w:rsidR="00921168" w:rsidRDefault="00921168" w:rsidP="00921168">
      <w:pPr>
        <w:jc w:val="center"/>
        <w:rPr>
          <w:rFonts w:cs="Arial"/>
          <w:highlight w:val="yellow"/>
        </w:rPr>
      </w:pPr>
    </w:p>
    <w:p w:rsidR="00A55645" w:rsidRDefault="00A55645" w:rsidP="00921168">
      <w:pPr>
        <w:jc w:val="center"/>
        <w:rPr>
          <w:rFonts w:cs="Arial"/>
          <w:highlight w:val="yellow"/>
        </w:rPr>
      </w:pPr>
    </w:p>
    <w:p w:rsidR="00A55645" w:rsidRPr="00A55645" w:rsidRDefault="00A55645" w:rsidP="00921168">
      <w:pPr>
        <w:jc w:val="center"/>
        <w:rPr>
          <w:rFonts w:cs="Arial"/>
        </w:rPr>
      </w:pPr>
    </w:p>
    <w:p w:rsidR="00A55645" w:rsidRPr="00EB577D" w:rsidRDefault="00A55645" w:rsidP="00921168">
      <w:pPr>
        <w:jc w:val="center"/>
        <w:rPr>
          <w:rFonts w:cs="Arial"/>
        </w:rPr>
      </w:pPr>
      <w:r w:rsidRPr="00A55645">
        <w:rPr>
          <w:rFonts w:cs="Arial"/>
        </w:rPr>
        <w:t>TSZT jelű ter</w:t>
      </w:r>
      <w:r w:rsidRPr="00EB577D">
        <w:rPr>
          <w:rFonts w:cs="Arial"/>
        </w:rPr>
        <w:t>vlap.</w:t>
      </w:r>
    </w:p>
    <w:p w:rsidR="00A55645" w:rsidRPr="00A55645" w:rsidRDefault="00A55645" w:rsidP="00921168">
      <w:pPr>
        <w:jc w:val="center"/>
        <w:rPr>
          <w:rFonts w:cs="Arial"/>
        </w:rPr>
      </w:pPr>
      <w:r w:rsidRPr="00EB577D">
        <w:rPr>
          <w:rFonts w:cs="Arial"/>
        </w:rPr>
        <w:t>(Az egyeztetés időszakában M=1:4000 méretarányú tervla</w:t>
      </w:r>
      <w:r w:rsidR="005028E9" w:rsidRPr="00EB577D">
        <w:rPr>
          <w:rFonts w:cs="Arial"/>
        </w:rPr>
        <w:t>p</w:t>
      </w:r>
      <w:r w:rsidRPr="00EB577D">
        <w:rPr>
          <w:rFonts w:cs="Arial"/>
        </w:rPr>
        <w:t xml:space="preserve"> ki</w:t>
      </w:r>
      <w:r w:rsidRPr="00A55645">
        <w:rPr>
          <w:rFonts w:cs="Arial"/>
        </w:rPr>
        <w:t>vonaton dokumentálva.)</w:t>
      </w:r>
    </w:p>
    <w:sectPr w:rsidR="00A55645" w:rsidRPr="00A55645" w:rsidSect="00A7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E" w:rsidRDefault="00A0737E" w:rsidP="00D45B1B">
      <w:r>
        <w:separator/>
      </w:r>
    </w:p>
  </w:endnote>
  <w:endnote w:type="continuationSeparator" w:id="0">
    <w:p w:rsidR="00A0737E" w:rsidRDefault="00A0737E" w:rsidP="00D4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FL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4" w:rsidRDefault="003F7F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4" w:rsidRDefault="003F7F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4" w:rsidRDefault="003F7F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E" w:rsidRDefault="00A0737E" w:rsidP="00D45B1B">
      <w:r>
        <w:separator/>
      </w:r>
    </w:p>
  </w:footnote>
  <w:footnote w:type="continuationSeparator" w:id="0">
    <w:p w:rsidR="00A0737E" w:rsidRDefault="00A0737E" w:rsidP="00D4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4" w:rsidRDefault="003F7F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4" w:rsidRDefault="003F7FF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4EAA1D" wp14:editId="10E0EAC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FF4" w:rsidRPr="00D45B1B" w:rsidRDefault="003F7FF4" w:rsidP="00D45B1B">
                          <w:pPr>
                            <w:pBdr>
                              <w:bottom w:val="single" w:sz="4" w:space="1" w:color="D9D9D9" w:themeColor="background1" w:themeShade="D9"/>
                            </w:pBdr>
                            <w:jc w:val="right"/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Sülysáp Város</w:t>
                          </w:r>
                          <w:r w:rsidRPr="00822197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településrendezési eszközeinek részleges módosítása – </w:t>
                          </w:r>
                          <w: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Településszerkezeti tervi leírás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4EAA1D"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LX4Zb23AgAAo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3F7FF4" w:rsidRPr="00D45B1B" w:rsidRDefault="003F7FF4" w:rsidP="00D45B1B">
                    <w:pPr>
                      <w:pBdr>
                        <w:bottom w:val="single" w:sz="4" w:space="1" w:color="D9D9D9" w:themeColor="background1" w:themeShade="D9"/>
                      </w:pBdr>
                      <w:jc w:val="right"/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Sülysáp Város</w:t>
                    </w:r>
                    <w:r w:rsidRPr="00822197">
                      <w:rPr>
                        <w:color w:val="BFBFBF" w:themeColor="background1" w:themeShade="BF"/>
                        <w:sz w:val="18"/>
                        <w:szCs w:val="18"/>
                      </w:rPr>
                      <w:t xml:space="preserve"> településrendezési eszközeinek részleges módosítása – </w:t>
                    </w:r>
                    <w:r>
                      <w:rPr>
                        <w:color w:val="BFBFBF" w:themeColor="background1" w:themeShade="BF"/>
                        <w:sz w:val="18"/>
                        <w:szCs w:val="18"/>
                      </w:rPr>
                      <w:t>Településszerkezeti tervi leírás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9BE91A" wp14:editId="3B4A5A3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F7FF4" w:rsidRDefault="003F7FF4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B577D" w:rsidRPr="00EB577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3F7FF4" w:rsidRDefault="003F7FF4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B577D" w:rsidRPr="00EB577D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F4" w:rsidRDefault="003F7F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6CB"/>
    <w:multiLevelType w:val="multilevel"/>
    <w:tmpl w:val="AA24C7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4267"/>
        </w:tabs>
        <w:ind w:left="4267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705D2"/>
    <w:multiLevelType w:val="multilevel"/>
    <w:tmpl w:val="3DEE682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0513F78"/>
    <w:multiLevelType w:val="multilevel"/>
    <w:tmpl w:val="DF1852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B7FBA"/>
    <w:multiLevelType w:val="hybridMultilevel"/>
    <w:tmpl w:val="BC549B2E"/>
    <w:lvl w:ilvl="0" w:tplc="6E7E77F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532"/>
    <w:multiLevelType w:val="hybridMultilevel"/>
    <w:tmpl w:val="4F749D10"/>
    <w:lvl w:ilvl="0" w:tplc="2C0889B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428D4C56"/>
    <w:multiLevelType w:val="singleLevel"/>
    <w:tmpl w:val="493AC68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6">
    <w:nsid w:val="4557679B"/>
    <w:multiLevelType w:val="hybridMultilevel"/>
    <w:tmpl w:val="CB2841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756AE"/>
    <w:multiLevelType w:val="hybridMultilevel"/>
    <w:tmpl w:val="33362562"/>
    <w:lvl w:ilvl="0" w:tplc="C7D8404C">
      <w:start w:val="5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6461341"/>
    <w:multiLevelType w:val="hybridMultilevel"/>
    <w:tmpl w:val="333CFCBA"/>
    <w:lvl w:ilvl="0" w:tplc="C5FAA8AA">
      <w:start w:val="7"/>
      <w:numFmt w:val="lowerLetter"/>
      <w:lvlText w:val="%1)"/>
      <w:lvlJc w:val="left"/>
      <w:pPr>
        <w:ind w:left="121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A5249EA"/>
    <w:multiLevelType w:val="hybridMultilevel"/>
    <w:tmpl w:val="0E38E53A"/>
    <w:lvl w:ilvl="0" w:tplc="0A68A1E6">
      <w:start w:val="1"/>
      <w:numFmt w:val="bullet"/>
      <w:lvlText w:val="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440D9"/>
    <w:multiLevelType w:val="hybridMultilevel"/>
    <w:tmpl w:val="1338C5E0"/>
    <w:lvl w:ilvl="0" w:tplc="7646F1D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524E5"/>
    <w:multiLevelType w:val="hybridMultilevel"/>
    <w:tmpl w:val="4F749D10"/>
    <w:lvl w:ilvl="0" w:tplc="2C0889B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702748D7"/>
    <w:multiLevelType w:val="hybridMultilevel"/>
    <w:tmpl w:val="3AB243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4821"/>
        </w:tabs>
        <w:ind w:left="482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55"/>
    <w:rsid w:val="00002408"/>
    <w:rsid w:val="0000602E"/>
    <w:rsid w:val="00015A64"/>
    <w:rsid w:val="00022BA2"/>
    <w:rsid w:val="000231A4"/>
    <w:rsid w:val="00023348"/>
    <w:rsid w:val="000276BA"/>
    <w:rsid w:val="00027837"/>
    <w:rsid w:val="0003208B"/>
    <w:rsid w:val="00036732"/>
    <w:rsid w:val="000475CF"/>
    <w:rsid w:val="000555D8"/>
    <w:rsid w:val="000555ED"/>
    <w:rsid w:val="000609EF"/>
    <w:rsid w:val="00067340"/>
    <w:rsid w:val="0007015D"/>
    <w:rsid w:val="00071D37"/>
    <w:rsid w:val="00073CC8"/>
    <w:rsid w:val="000772E5"/>
    <w:rsid w:val="00080E0D"/>
    <w:rsid w:val="000835BC"/>
    <w:rsid w:val="000839DA"/>
    <w:rsid w:val="000849E3"/>
    <w:rsid w:val="00085AB6"/>
    <w:rsid w:val="000920ED"/>
    <w:rsid w:val="000931E8"/>
    <w:rsid w:val="0009420A"/>
    <w:rsid w:val="000955F6"/>
    <w:rsid w:val="000A375F"/>
    <w:rsid w:val="000A4411"/>
    <w:rsid w:val="000A4936"/>
    <w:rsid w:val="000A61E0"/>
    <w:rsid w:val="000A6DCF"/>
    <w:rsid w:val="000A7B65"/>
    <w:rsid w:val="000B1B93"/>
    <w:rsid w:val="000B44FE"/>
    <w:rsid w:val="000B5B1D"/>
    <w:rsid w:val="000C0CB6"/>
    <w:rsid w:val="000C52FE"/>
    <w:rsid w:val="000D0215"/>
    <w:rsid w:val="000D0694"/>
    <w:rsid w:val="000D1A29"/>
    <w:rsid w:val="000D3E39"/>
    <w:rsid w:val="000D53A6"/>
    <w:rsid w:val="000D5D5C"/>
    <w:rsid w:val="000D62FE"/>
    <w:rsid w:val="000D6E3A"/>
    <w:rsid w:val="000D7212"/>
    <w:rsid w:val="000F1F3B"/>
    <w:rsid w:val="000F2B53"/>
    <w:rsid w:val="000F365C"/>
    <w:rsid w:val="000F690F"/>
    <w:rsid w:val="00102AE7"/>
    <w:rsid w:val="00105437"/>
    <w:rsid w:val="00121336"/>
    <w:rsid w:val="00121C9A"/>
    <w:rsid w:val="0012228E"/>
    <w:rsid w:val="00124B53"/>
    <w:rsid w:val="001260A7"/>
    <w:rsid w:val="001271BC"/>
    <w:rsid w:val="0013207D"/>
    <w:rsid w:val="00132F44"/>
    <w:rsid w:val="00137195"/>
    <w:rsid w:val="00140BAB"/>
    <w:rsid w:val="0015419F"/>
    <w:rsid w:val="001554BF"/>
    <w:rsid w:val="0015602E"/>
    <w:rsid w:val="00164BE6"/>
    <w:rsid w:val="00167DDE"/>
    <w:rsid w:val="00172184"/>
    <w:rsid w:val="001736E6"/>
    <w:rsid w:val="0017398E"/>
    <w:rsid w:val="00176957"/>
    <w:rsid w:val="001808C2"/>
    <w:rsid w:val="0018236F"/>
    <w:rsid w:val="0018422D"/>
    <w:rsid w:val="00195278"/>
    <w:rsid w:val="00195696"/>
    <w:rsid w:val="001979AB"/>
    <w:rsid w:val="001A065A"/>
    <w:rsid w:val="001B5B20"/>
    <w:rsid w:val="001C39C0"/>
    <w:rsid w:val="001C64A0"/>
    <w:rsid w:val="001D40FF"/>
    <w:rsid w:val="001D5433"/>
    <w:rsid w:val="001D670F"/>
    <w:rsid w:val="001E0AAB"/>
    <w:rsid w:val="001E266B"/>
    <w:rsid w:val="001E293F"/>
    <w:rsid w:val="001E3066"/>
    <w:rsid w:val="001E3244"/>
    <w:rsid w:val="001E4A91"/>
    <w:rsid w:val="001E510B"/>
    <w:rsid w:val="001F03CE"/>
    <w:rsid w:val="001F192E"/>
    <w:rsid w:val="001F1F62"/>
    <w:rsid w:val="001F6AE8"/>
    <w:rsid w:val="002024C5"/>
    <w:rsid w:val="002039B6"/>
    <w:rsid w:val="00217B49"/>
    <w:rsid w:val="0022189C"/>
    <w:rsid w:val="00223311"/>
    <w:rsid w:val="00226CA7"/>
    <w:rsid w:val="002317BA"/>
    <w:rsid w:val="00231ACC"/>
    <w:rsid w:val="0023476B"/>
    <w:rsid w:val="00235874"/>
    <w:rsid w:val="00237AA7"/>
    <w:rsid w:val="002460BF"/>
    <w:rsid w:val="00252A0B"/>
    <w:rsid w:val="0025447D"/>
    <w:rsid w:val="002558FD"/>
    <w:rsid w:val="00255A8F"/>
    <w:rsid w:val="00266B5C"/>
    <w:rsid w:val="00277EBC"/>
    <w:rsid w:val="00280CD0"/>
    <w:rsid w:val="002904BF"/>
    <w:rsid w:val="00291361"/>
    <w:rsid w:val="00291778"/>
    <w:rsid w:val="002A0536"/>
    <w:rsid w:val="002A0C8A"/>
    <w:rsid w:val="002A3915"/>
    <w:rsid w:val="002B56E3"/>
    <w:rsid w:val="002B5DBE"/>
    <w:rsid w:val="002B6DE0"/>
    <w:rsid w:val="002C1392"/>
    <w:rsid w:val="002C1FB5"/>
    <w:rsid w:val="002C6F93"/>
    <w:rsid w:val="002D43EA"/>
    <w:rsid w:val="002D6822"/>
    <w:rsid w:val="002D7CCD"/>
    <w:rsid w:val="002E0B90"/>
    <w:rsid w:val="002E1037"/>
    <w:rsid w:val="002E1C46"/>
    <w:rsid w:val="002E2EDF"/>
    <w:rsid w:val="002E57A8"/>
    <w:rsid w:val="002E6431"/>
    <w:rsid w:val="002F0B8D"/>
    <w:rsid w:val="002F2952"/>
    <w:rsid w:val="002F6700"/>
    <w:rsid w:val="003016C9"/>
    <w:rsid w:val="00303C11"/>
    <w:rsid w:val="003052D5"/>
    <w:rsid w:val="00306E0B"/>
    <w:rsid w:val="00311158"/>
    <w:rsid w:val="003126B2"/>
    <w:rsid w:val="00313E23"/>
    <w:rsid w:val="0031437C"/>
    <w:rsid w:val="00316E75"/>
    <w:rsid w:val="00317268"/>
    <w:rsid w:val="00322F8C"/>
    <w:rsid w:val="00323924"/>
    <w:rsid w:val="0032585F"/>
    <w:rsid w:val="00330731"/>
    <w:rsid w:val="0033602E"/>
    <w:rsid w:val="003366A6"/>
    <w:rsid w:val="00337480"/>
    <w:rsid w:val="003376D0"/>
    <w:rsid w:val="00347633"/>
    <w:rsid w:val="0035282E"/>
    <w:rsid w:val="0035327C"/>
    <w:rsid w:val="0035427F"/>
    <w:rsid w:val="0035666D"/>
    <w:rsid w:val="00357A94"/>
    <w:rsid w:val="00357D61"/>
    <w:rsid w:val="00360E51"/>
    <w:rsid w:val="00364AE5"/>
    <w:rsid w:val="003655EA"/>
    <w:rsid w:val="00365819"/>
    <w:rsid w:val="00365E0B"/>
    <w:rsid w:val="003841E2"/>
    <w:rsid w:val="00393A7F"/>
    <w:rsid w:val="003940B2"/>
    <w:rsid w:val="0039471E"/>
    <w:rsid w:val="00397607"/>
    <w:rsid w:val="003A0362"/>
    <w:rsid w:val="003A1083"/>
    <w:rsid w:val="003A1737"/>
    <w:rsid w:val="003A2D96"/>
    <w:rsid w:val="003B28C1"/>
    <w:rsid w:val="003B4543"/>
    <w:rsid w:val="003B5FFF"/>
    <w:rsid w:val="003C1CB8"/>
    <w:rsid w:val="003C22AD"/>
    <w:rsid w:val="003C2C1C"/>
    <w:rsid w:val="003C4208"/>
    <w:rsid w:val="003C6AFF"/>
    <w:rsid w:val="003D130F"/>
    <w:rsid w:val="003D14C3"/>
    <w:rsid w:val="003E1796"/>
    <w:rsid w:val="003E4F13"/>
    <w:rsid w:val="003F06E5"/>
    <w:rsid w:val="003F44FD"/>
    <w:rsid w:val="003F4586"/>
    <w:rsid w:val="003F6E59"/>
    <w:rsid w:val="003F7216"/>
    <w:rsid w:val="003F7729"/>
    <w:rsid w:val="003F7FF4"/>
    <w:rsid w:val="0040524B"/>
    <w:rsid w:val="00406001"/>
    <w:rsid w:val="00407A3D"/>
    <w:rsid w:val="00412163"/>
    <w:rsid w:val="00412B21"/>
    <w:rsid w:val="00414F1F"/>
    <w:rsid w:val="00421532"/>
    <w:rsid w:val="00422CBB"/>
    <w:rsid w:val="00424C0C"/>
    <w:rsid w:val="00427635"/>
    <w:rsid w:val="0043445B"/>
    <w:rsid w:val="00435094"/>
    <w:rsid w:val="004406CC"/>
    <w:rsid w:val="004408E7"/>
    <w:rsid w:val="004428E6"/>
    <w:rsid w:val="0044538B"/>
    <w:rsid w:val="00453BDA"/>
    <w:rsid w:val="00461EE6"/>
    <w:rsid w:val="0046672D"/>
    <w:rsid w:val="00470845"/>
    <w:rsid w:val="00473686"/>
    <w:rsid w:val="004770C2"/>
    <w:rsid w:val="00477B13"/>
    <w:rsid w:val="004811CE"/>
    <w:rsid w:val="004813E9"/>
    <w:rsid w:val="00483952"/>
    <w:rsid w:val="0048410B"/>
    <w:rsid w:val="0048412E"/>
    <w:rsid w:val="00485434"/>
    <w:rsid w:val="00486C9B"/>
    <w:rsid w:val="00490F7E"/>
    <w:rsid w:val="00491C1B"/>
    <w:rsid w:val="004970DE"/>
    <w:rsid w:val="004A00D4"/>
    <w:rsid w:val="004A101C"/>
    <w:rsid w:val="004A6510"/>
    <w:rsid w:val="004A7310"/>
    <w:rsid w:val="004A7BE6"/>
    <w:rsid w:val="004B11B3"/>
    <w:rsid w:val="004B285D"/>
    <w:rsid w:val="004B5F12"/>
    <w:rsid w:val="004C5110"/>
    <w:rsid w:val="004C7203"/>
    <w:rsid w:val="004C7581"/>
    <w:rsid w:val="004D2B1C"/>
    <w:rsid w:val="004D2B46"/>
    <w:rsid w:val="004D3358"/>
    <w:rsid w:val="004D4D8A"/>
    <w:rsid w:val="004D4FAC"/>
    <w:rsid w:val="004D668C"/>
    <w:rsid w:val="004E0A01"/>
    <w:rsid w:val="004E3D43"/>
    <w:rsid w:val="004E42A8"/>
    <w:rsid w:val="004E431C"/>
    <w:rsid w:val="004E5A7A"/>
    <w:rsid w:val="004E5EFF"/>
    <w:rsid w:val="004E7304"/>
    <w:rsid w:val="004E7DD4"/>
    <w:rsid w:val="004F0EF6"/>
    <w:rsid w:val="004F10AE"/>
    <w:rsid w:val="004F2066"/>
    <w:rsid w:val="004F703C"/>
    <w:rsid w:val="004F79E9"/>
    <w:rsid w:val="00501159"/>
    <w:rsid w:val="00501458"/>
    <w:rsid w:val="005028E9"/>
    <w:rsid w:val="0050486A"/>
    <w:rsid w:val="00513130"/>
    <w:rsid w:val="0051544D"/>
    <w:rsid w:val="005220F6"/>
    <w:rsid w:val="00524A3F"/>
    <w:rsid w:val="00531D85"/>
    <w:rsid w:val="00531E06"/>
    <w:rsid w:val="005348EB"/>
    <w:rsid w:val="005373C7"/>
    <w:rsid w:val="00537F08"/>
    <w:rsid w:val="00540F46"/>
    <w:rsid w:val="00542F8A"/>
    <w:rsid w:val="00550236"/>
    <w:rsid w:val="00552F2B"/>
    <w:rsid w:val="005544EB"/>
    <w:rsid w:val="005568E4"/>
    <w:rsid w:val="00563DC2"/>
    <w:rsid w:val="005645AA"/>
    <w:rsid w:val="00565A4C"/>
    <w:rsid w:val="0056646A"/>
    <w:rsid w:val="00573075"/>
    <w:rsid w:val="0057527C"/>
    <w:rsid w:val="00576F67"/>
    <w:rsid w:val="00577B56"/>
    <w:rsid w:val="00581A98"/>
    <w:rsid w:val="00583AE1"/>
    <w:rsid w:val="00586411"/>
    <w:rsid w:val="005864F1"/>
    <w:rsid w:val="00587DF4"/>
    <w:rsid w:val="0059000D"/>
    <w:rsid w:val="00593098"/>
    <w:rsid w:val="00593F9B"/>
    <w:rsid w:val="005A07F0"/>
    <w:rsid w:val="005A0D5A"/>
    <w:rsid w:val="005B1434"/>
    <w:rsid w:val="005B4F69"/>
    <w:rsid w:val="005B7CF5"/>
    <w:rsid w:val="005C040A"/>
    <w:rsid w:val="005C5F21"/>
    <w:rsid w:val="005D20C6"/>
    <w:rsid w:val="005D433E"/>
    <w:rsid w:val="005F3492"/>
    <w:rsid w:val="005F6C3E"/>
    <w:rsid w:val="00602297"/>
    <w:rsid w:val="00604565"/>
    <w:rsid w:val="00604E11"/>
    <w:rsid w:val="00605088"/>
    <w:rsid w:val="0060691A"/>
    <w:rsid w:val="00606A16"/>
    <w:rsid w:val="0061772B"/>
    <w:rsid w:val="00620993"/>
    <w:rsid w:val="006244B0"/>
    <w:rsid w:val="00627942"/>
    <w:rsid w:val="00631666"/>
    <w:rsid w:val="006329B2"/>
    <w:rsid w:val="00636099"/>
    <w:rsid w:val="00637A6B"/>
    <w:rsid w:val="00641C29"/>
    <w:rsid w:val="00645E32"/>
    <w:rsid w:val="00647BC8"/>
    <w:rsid w:val="00651431"/>
    <w:rsid w:val="006548D3"/>
    <w:rsid w:val="00665C8C"/>
    <w:rsid w:val="00667ABC"/>
    <w:rsid w:val="006706FE"/>
    <w:rsid w:val="006766E2"/>
    <w:rsid w:val="00683218"/>
    <w:rsid w:val="00687242"/>
    <w:rsid w:val="00693580"/>
    <w:rsid w:val="00693E60"/>
    <w:rsid w:val="006A1D1D"/>
    <w:rsid w:val="006A399D"/>
    <w:rsid w:val="006B324F"/>
    <w:rsid w:val="006B51C2"/>
    <w:rsid w:val="006C368E"/>
    <w:rsid w:val="006C63EB"/>
    <w:rsid w:val="006C7136"/>
    <w:rsid w:val="006D1488"/>
    <w:rsid w:val="006D2636"/>
    <w:rsid w:val="006D3BCA"/>
    <w:rsid w:val="006E0533"/>
    <w:rsid w:val="006E1272"/>
    <w:rsid w:val="006E2A13"/>
    <w:rsid w:val="006E6A4D"/>
    <w:rsid w:val="006E7B00"/>
    <w:rsid w:val="006F4D91"/>
    <w:rsid w:val="006F6122"/>
    <w:rsid w:val="00702926"/>
    <w:rsid w:val="00702C77"/>
    <w:rsid w:val="00711C55"/>
    <w:rsid w:val="00712F7D"/>
    <w:rsid w:val="007132A7"/>
    <w:rsid w:val="0072178D"/>
    <w:rsid w:val="0072182C"/>
    <w:rsid w:val="00722861"/>
    <w:rsid w:val="0072615C"/>
    <w:rsid w:val="00730F07"/>
    <w:rsid w:val="007350D1"/>
    <w:rsid w:val="00737618"/>
    <w:rsid w:val="00740C02"/>
    <w:rsid w:val="0074245C"/>
    <w:rsid w:val="00742476"/>
    <w:rsid w:val="00743C4E"/>
    <w:rsid w:val="0074556A"/>
    <w:rsid w:val="00746455"/>
    <w:rsid w:val="00747694"/>
    <w:rsid w:val="00747BAC"/>
    <w:rsid w:val="00750B34"/>
    <w:rsid w:val="00751B47"/>
    <w:rsid w:val="00751FDC"/>
    <w:rsid w:val="007640D1"/>
    <w:rsid w:val="00766C79"/>
    <w:rsid w:val="00767A4B"/>
    <w:rsid w:val="00770E7C"/>
    <w:rsid w:val="00782E90"/>
    <w:rsid w:val="00791887"/>
    <w:rsid w:val="007928F6"/>
    <w:rsid w:val="00792A51"/>
    <w:rsid w:val="00792F57"/>
    <w:rsid w:val="00793146"/>
    <w:rsid w:val="00796FE8"/>
    <w:rsid w:val="007A19DF"/>
    <w:rsid w:val="007A1AA2"/>
    <w:rsid w:val="007A1BAE"/>
    <w:rsid w:val="007A32F9"/>
    <w:rsid w:val="007A466E"/>
    <w:rsid w:val="007A6CEA"/>
    <w:rsid w:val="007B0A3E"/>
    <w:rsid w:val="007B4F05"/>
    <w:rsid w:val="007C0737"/>
    <w:rsid w:val="007C2F97"/>
    <w:rsid w:val="007C4636"/>
    <w:rsid w:val="007C4B01"/>
    <w:rsid w:val="007C500A"/>
    <w:rsid w:val="007C5487"/>
    <w:rsid w:val="007C725B"/>
    <w:rsid w:val="007D244B"/>
    <w:rsid w:val="007D278B"/>
    <w:rsid w:val="007D3749"/>
    <w:rsid w:val="007D51C5"/>
    <w:rsid w:val="007D599E"/>
    <w:rsid w:val="007E0C5E"/>
    <w:rsid w:val="007E2124"/>
    <w:rsid w:val="007E26B3"/>
    <w:rsid w:val="007E529B"/>
    <w:rsid w:val="007E5535"/>
    <w:rsid w:val="007E6611"/>
    <w:rsid w:val="007F0664"/>
    <w:rsid w:val="007F07D8"/>
    <w:rsid w:val="007F10AF"/>
    <w:rsid w:val="007F3BFA"/>
    <w:rsid w:val="007F59B2"/>
    <w:rsid w:val="007F6767"/>
    <w:rsid w:val="007F7362"/>
    <w:rsid w:val="00802E7F"/>
    <w:rsid w:val="00803957"/>
    <w:rsid w:val="00812094"/>
    <w:rsid w:val="00813C67"/>
    <w:rsid w:val="00824391"/>
    <w:rsid w:val="00840AEA"/>
    <w:rsid w:val="00840ED3"/>
    <w:rsid w:val="00845CDD"/>
    <w:rsid w:val="00860782"/>
    <w:rsid w:val="00860AB5"/>
    <w:rsid w:val="0086269C"/>
    <w:rsid w:val="0086458A"/>
    <w:rsid w:val="00867E22"/>
    <w:rsid w:val="00872B45"/>
    <w:rsid w:val="008838D4"/>
    <w:rsid w:val="00886010"/>
    <w:rsid w:val="008938EA"/>
    <w:rsid w:val="008A183E"/>
    <w:rsid w:val="008A1D0B"/>
    <w:rsid w:val="008A1E94"/>
    <w:rsid w:val="008A4865"/>
    <w:rsid w:val="008A5608"/>
    <w:rsid w:val="008A685A"/>
    <w:rsid w:val="008B1AB0"/>
    <w:rsid w:val="008B34F6"/>
    <w:rsid w:val="008B5E8B"/>
    <w:rsid w:val="008B6BD1"/>
    <w:rsid w:val="008C0C6D"/>
    <w:rsid w:val="008C3A13"/>
    <w:rsid w:val="008D3E68"/>
    <w:rsid w:val="008D7D3D"/>
    <w:rsid w:val="008E3A8D"/>
    <w:rsid w:val="008E49A6"/>
    <w:rsid w:val="008E7DA5"/>
    <w:rsid w:val="008F5AED"/>
    <w:rsid w:val="008F6790"/>
    <w:rsid w:val="008F79BE"/>
    <w:rsid w:val="00904CB9"/>
    <w:rsid w:val="0091610F"/>
    <w:rsid w:val="00921168"/>
    <w:rsid w:val="009238D9"/>
    <w:rsid w:val="00927AD5"/>
    <w:rsid w:val="0093101E"/>
    <w:rsid w:val="00931DD4"/>
    <w:rsid w:val="00935CF0"/>
    <w:rsid w:val="009360DF"/>
    <w:rsid w:val="00940B2C"/>
    <w:rsid w:val="00941D34"/>
    <w:rsid w:val="00945396"/>
    <w:rsid w:val="00945A56"/>
    <w:rsid w:val="009475C5"/>
    <w:rsid w:val="00960F17"/>
    <w:rsid w:val="009647CD"/>
    <w:rsid w:val="0096581F"/>
    <w:rsid w:val="009677A8"/>
    <w:rsid w:val="00975018"/>
    <w:rsid w:val="009761F9"/>
    <w:rsid w:val="00981623"/>
    <w:rsid w:val="00981F90"/>
    <w:rsid w:val="00986731"/>
    <w:rsid w:val="00992D06"/>
    <w:rsid w:val="009A034F"/>
    <w:rsid w:val="009A3AD1"/>
    <w:rsid w:val="009A4692"/>
    <w:rsid w:val="009A74AA"/>
    <w:rsid w:val="009A75AD"/>
    <w:rsid w:val="009B35DA"/>
    <w:rsid w:val="009B37CC"/>
    <w:rsid w:val="009B467E"/>
    <w:rsid w:val="009B53CD"/>
    <w:rsid w:val="009B5AFF"/>
    <w:rsid w:val="009C203C"/>
    <w:rsid w:val="009C5627"/>
    <w:rsid w:val="009D004A"/>
    <w:rsid w:val="009D16A2"/>
    <w:rsid w:val="009D2C75"/>
    <w:rsid w:val="009D59F6"/>
    <w:rsid w:val="009D7A62"/>
    <w:rsid w:val="009E0E49"/>
    <w:rsid w:val="009F11BC"/>
    <w:rsid w:val="009F1B55"/>
    <w:rsid w:val="009F3245"/>
    <w:rsid w:val="009F409D"/>
    <w:rsid w:val="00A02DBE"/>
    <w:rsid w:val="00A0737E"/>
    <w:rsid w:val="00A079D0"/>
    <w:rsid w:val="00A15D86"/>
    <w:rsid w:val="00A20BC1"/>
    <w:rsid w:val="00A222BB"/>
    <w:rsid w:val="00A24284"/>
    <w:rsid w:val="00A24C3D"/>
    <w:rsid w:val="00A26E02"/>
    <w:rsid w:val="00A300CE"/>
    <w:rsid w:val="00A33F64"/>
    <w:rsid w:val="00A41BCE"/>
    <w:rsid w:val="00A42C91"/>
    <w:rsid w:val="00A43C41"/>
    <w:rsid w:val="00A43D35"/>
    <w:rsid w:val="00A53B79"/>
    <w:rsid w:val="00A549E0"/>
    <w:rsid w:val="00A55645"/>
    <w:rsid w:val="00A57672"/>
    <w:rsid w:val="00A60429"/>
    <w:rsid w:val="00A61FCE"/>
    <w:rsid w:val="00A63884"/>
    <w:rsid w:val="00A64064"/>
    <w:rsid w:val="00A67415"/>
    <w:rsid w:val="00A70BEE"/>
    <w:rsid w:val="00A713F8"/>
    <w:rsid w:val="00A72E34"/>
    <w:rsid w:val="00A759C0"/>
    <w:rsid w:val="00A75F10"/>
    <w:rsid w:val="00A77D42"/>
    <w:rsid w:val="00A80714"/>
    <w:rsid w:val="00A81482"/>
    <w:rsid w:val="00A85EFA"/>
    <w:rsid w:val="00A86E20"/>
    <w:rsid w:val="00A936C0"/>
    <w:rsid w:val="00A93996"/>
    <w:rsid w:val="00A9760C"/>
    <w:rsid w:val="00AA34E2"/>
    <w:rsid w:val="00AA4C27"/>
    <w:rsid w:val="00AB1865"/>
    <w:rsid w:val="00AB3518"/>
    <w:rsid w:val="00AB5A10"/>
    <w:rsid w:val="00AC3F1D"/>
    <w:rsid w:val="00AC47C3"/>
    <w:rsid w:val="00AD185D"/>
    <w:rsid w:val="00AD3822"/>
    <w:rsid w:val="00AD5F7A"/>
    <w:rsid w:val="00AD6E4A"/>
    <w:rsid w:val="00AE1541"/>
    <w:rsid w:val="00AF0126"/>
    <w:rsid w:val="00AF04BC"/>
    <w:rsid w:val="00AF0E45"/>
    <w:rsid w:val="00AF3E91"/>
    <w:rsid w:val="00AF3FDE"/>
    <w:rsid w:val="00AF4D14"/>
    <w:rsid w:val="00AF7625"/>
    <w:rsid w:val="00AF7D41"/>
    <w:rsid w:val="00B018BF"/>
    <w:rsid w:val="00B021B0"/>
    <w:rsid w:val="00B049AA"/>
    <w:rsid w:val="00B04CE5"/>
    <w:rsid w:val="00B1750D"/>
    <w:rsid w:val="00B21543"/>
    <w:rsid w:val="00B2679C"/>
    <w:rsid w:val="00B26876"/>
    <w:rsid w:val="00B27DA8"/>
    <w:rsid w:val="00B36007"/>
    <w:rsid w:val="00B37222"/>
    <w:rsid w:val="00B37BC1"/>
    <w:rsid w:val="00B42471"/>
    <w:rsid w:val="00B42A0B"/>
    <w:rsid w:val="00B436F9"/>
    <w:rsid w:val="00B45162"/>
    <w:rsid w:val="00B46E61"/>
    <w:rsid w:val="00B478E3"/>
    <w:rsid w:val="00B524DE"/>
    <w:rsid w:val="00B54887"/>
    <w:rsid w:val="00B64054"/>
    <w:rsid w:val="00B64A36"/>
    <w:rsid w:val="00B94AB4"/>
    <w:rsid w:val="00BA27E2"/>
    <w:rsid w:val="00BA292D"/>
    <w:rsid w:val="00BA2FAC"/>
    <w:rsid w:val="00BA386A"/>
    <w:rsid w:val="00BA4634"/>
    <w:rsid w:val="00BA48D8"/>
    <w:rsid w:val="00BA58DC"/>
    <w:rsid w:val="00BA790F"/>
    <w:rsid w:val="00BB0AD6"/>
    <w:rsid w:val="00BB1F23"/>
    <w:rsid w:val="00BB704D"/>
    <w:rsid w:val="00BC1C73"/>
    <w:rsid w:val="00BC2C60"/>
    <w:rsid w:val="00BC3D2F"/>
    <w:rsid w:val="00BC5308"/>
    <w:rsid w:val="00BD01E6"/>
    <w:rsid w:val="00BD41D1"/>
    <w:rsid w:val="00BE5408"/>
    <w:rsid w:val="00BE775C"/>
    <w:rsid w:val="00BE7D18"/>
    <w:rsid w:val="00BF0A9F"/>
    <w:rsid w:val="00BF6B4A"/>
    <w:rsid w:val="00BF7F9E"/>
    <w:rsid w:val="00C01A7E"/>
    <w:rsid w:val="00C0285C"/>
    <w:rsid w:val="00C06997"/>
    <w:rsid w:val="00C06D4C"/>
    <w:rsid w:val="00C07643"/>
    <w:rsid w:val="00C1639E"/>
    <w:rsid w:val="00C26268"/>
    <w:rsid w:val="00C276CD"/>
    <w:rsid w:val="00C31B31"/>
    <w:rsid w:val="00C31D8D"/>
    <w:rsid w:val="00C40C46"/>
    <w:rsid w:val="00C45BDF"/>
    <w:rsid w:val="00C50E17"/>
    <w:rsid w:val="00C520EC"/>
    <w:rsid w:val="00C54E37"/>
    <w:rsid w:val="00C55DB9"/>
    <w:rsid w:val="00C5627A"/>
    <w:rsid w:val="00C60352"/>
    <w:rsid w:val="00C6142C"/>
    <w:rsid w:val="00C63C98"/>
    <w:rsid w:val="00C63E63"/>
    <w:rsid w:val="00C7060A"/>
    <w:rsid w:val="00C716C9"/>
    <w:rsid w:val="00C737AD"/>
    <w:rsid w:val="00C81EC8"/>
    <w:rsid w:val="00C83FC1"/>
    <w:rsid w:val="00C87748"/>
    <w:rsid w:val="00C879DC"/>
    <w:rsid w:val="00C971C2"/>
    <w:rsid w:val="00CA1EA2"/>
    <w:rsid w:val="00CA606F"/>
    <w:rsid w:val="00CA67E3"/>
    <w:rsid w:val="00CB02F9"/>
    <w:rsid w:val="00CB09D0"/>
    <w:rsid w:val="00CB1CC4"/>
    <w:rsid w:val="00CC2726"/>
    <w:rsid w:val="00CC33D2"/>
    <w:rsid w:val="00CC343D"/>
    <w:rsid w:val="00CC45B7"/>
    <w:rsid w:val="00CC5FD5"/>
    <w:rsid w:val="00CC6FF7"/>
    <w:rsid w:val="00CD1079"/>
    <w:rsid w:val="00CD4761"/>
    <w:rsid w:val="00CE4C0D"/>
    <w:rsid w:val="00CE4CF4"/>
    <w:rsid w:val="00CE6F2B"/>
    <w:rsid w:val="00CF3B83"/>
    <w:rsid w:val="00CF513A"/>
    <w:rsid w:val="00D02DD9"/>
    <w:rsid w:val="00D04704"/>
    <w:rsid w:val="00D04E28"/>
    <w:rsid w:val="00D05EE0"/>
    <w:rsid w:val="00D12F6C"/>
    <w:rsid w:val="00D1476F"/>
    <w:rsid w:val="00D20255"/>
    <w:rsid w:val="00D23260"/>
    <w:rsid w:val="00D261AE"/>
    <w:rsid w:val="00D32690"/>
    <w:rsid w:val="00D326C2"/>
    <w:rsid w:val="00D340DE"/>
    <w:rsid w:val="00D367E7"/>
    <w:rsid w:val="00D378AD"/>
    <w:rsid w:val="00D438D0"/>
    <w:rsid w:val="00D44FD5"/>
    <w:rsid w:val="00D45B1B"/>
    <w:rsid w:val="00D4736C"/>
    <w:rsid w:val="00D51211"/>
    <w:rsid w:val="00D51248"/>
    <w:rsid w:val="00D51B8C"/>
    <w:rsid w:val="00D523E4"/>
    <w:rsid w:val="00D52B7E"/>
    <w:rsid w:val="00D557A3"/>
    <w:rsid w:val="00D55826"/>
    <w:rsid w:val="00D55BFC"/>
    <w:rsid w:val="00D604E2"/>
    <w:rsid w:val="00D60805"/>
    <w:rsid w:val="00D60E5F"/>
    <w:rsid w:val="00D63ED3"/>
    <w:rsid w:val="00D71783"/>
    <w:rsid w:val="00D80696"/>
    <w:rsid w:val="00D82948"/>
    <w:rsid w:val="00D83C0A"/>
    <w:rsid w:val="00D86EF2"/>
    <w:rsid w:val="00D90A9E"/>
    <w:rsid w:val="00D91ECF"/>
    <w:rsid w:val="00D92BA0"/>
    <w:rsid w:val="00D931E0"/>
    <w:rsid w:val="00D94A5F"/>
    <w:rsid w:val="00DA45A7"/>
    <w:rsid w:val="00DA7B68"/>
    <w:rsid w:val="00DB1F96"/>
    <w:rsid w:val="00DB208C"/>
    <w:rsid w:val="00DB501D"/>
    <w:rsid w:val="00DC0C3A"/>
    <w:rsid w:val="00DC352F"/>
    <w:rsid w:val="00DD12E1"/>
    <w:rsid w:val="00DD176A"/>
    <w:rsid w:val="00DD4751"/>
    <w:rsid w:val="00DE1A8A"/>
    <w:rsid w:val="00DE3DCE"/>
    <w:rsid w:val="00DF156B"/>
    <w:rsid w:val="00DF273F"/>
    <w:rsid w:val="00DF51A1"/>
    <w:rsid w:val="00E006C5"/>
    <w:rsid w:val="00E04C5A"/>
    <w:rsid w:val="00E06CBF"/>
    <w:rsid w:val="00E07A57"/>
    <w:rsid w:val="00E104F8"/>
    <w:rsid w:val="00E11720"/>
    <w:rsid w:val="00E16800"/>
    <w:rsid w:val="00E232DF"/>
    <w:rsid w:val="00E233CE"/>
    <w:rsid w:val="00E24A5C"/>
    <w:rsid w:val="00E27D4B"/>
    <w:rsid w:val="00E33B36"/>
    <w:rsid w:val="00E36914"/>
    <w:rsid w:val="00E4286F"/>
    <w:rsid w:val="00E42C82"/>
    <w:rsid w:val="00E513BA"/>
    <w:rsid w:val="00E54064"/>
    <w:rsid w:val="00E61503"/>
    <w:rsid w:val="00E62205"/>
    <w:rsid w:val="00E658BD"/>
    <w:rsid w:val="00E726F6"/>
    <w:rsid w:val="00E73CA9"/>
    <w:rsid w:val="00E740BC"/>
    <w:rsid w:val="00E76CC7"/>
    <w:rsid w:val="00E84EDD"/>
    <w:rsid w:val="00E9059E"/>
    <w:rsid w:val="00E90949"/>
    <w:rsid w:val="00E9383A"/>
    <w:rsid w:val="00E938E6"/>
    <w:rsid w:val="00E96790"/>
    <w:rsid w:val="00EA3057"/>
    <w:rsid w:val="00EA3357"/>
    <w:rsid w:val="00EA4346"/>
    <w:rsid w:val="00EA73CB"/>
    <w:rsid w:val="00EB1C04"/>
    <w:rsid w:val="00EB577D"/>
    <w:rsid w:val="00EB57AF"/>
    <w:rsid w:val="00EC1E8B"/>
    <w:rsid w:val="00EC4BB2"/>
    <w:rsid w:val="00ED39E2"/>
    <w:rsid w:val="00EE011F"/>
    <w:rsid w:val="00EE0FFA"/>
    <w:rsid w:val="00EE1E4B"/>
    <w:rsid w:val="00EF13B4"/>
    <w:rsid w:val="00EF41C3"/>
    <w:rsid w:val="00EF427D"/>
    <w:rsid w:val="00EF4E63"/>
    <w:rsid w:val="00EF5691"/>
    <w:rsid w:val="00EF6AFD"/>
    <w:rsid w:val="00F00945"/>
    <w:rsid w:val="00F02212"/>
    <w:rsid w:val="00F16412"/>
    <w:rsid w:val="00F20425"/>
    <w:rsid w:val="00F2159C"/>
    <w:rsid w:val="00F21D60"/>
    <w:rsid w:val="00F22ED5"/>
    <w:rsid w:val="00F2546D"/>
    <w:rsid w:val="00F269C0"/>
    <w:rsid w:val="00F323E3"/>
    <w:rsid w:val="00F36C2A"/>
    <w:rsid w:val="00F36FC0"/>
    <w:rsid w:val="00F37E25"/>
    <w:rsid w:val="00F43472"/>
    <w:rsid w:val="00F448D7"/>
    <w:rsid w:val="00F500CD"/>
    <w:rsid w:val="00F50C65"/>
    <w:rsid w:val="00F575F9"/>
    <w:rsid w:val="00F618EB"/>
    <w:rsid w:val="00F63885"/>
    <w:rsid w:val="00F66F87"/>
    <w:rsid w:val="00F70278"/>
    <w:rsid w:val="00F728A7"/>
    <w:rsid w:val="00F73B36"/>
    <w:rsid w:val="00F7634D"/>
    <w:rsid w:val="00F8199D"/>
    <w:rsid w:val="00F823F0"/>
    <w:rsid w:val="00F85FBD"/>
    <w:rsid w:val="00F904D5"/>
    <w:rsid w:val="00F90674"/>
    <w:rsid w:val="00F953DA"/>
    <w:rsid w:val="00F962E2"/>
    <w:rsid w:val="00FA0F17"/>
    <w:rsid w:val="00FA2173"/>
    <w:rsid w:val="00FA29B4"/>
    <w:rsid w:val="00FB0E1B"/>
    <w:rsid w:val="00FB1BFA"/>
    <w:rsid w:val="00FB310B"/>
    <w:rsid w:val="00FB4734"/>
    <w:rsid w:val="00FC112F"/>
    <w:rsid w:val="00FC4775"/>
    <w:rsid w:val="00FC6444"/>
    <w:rsid w:val="00FD29CE"/>
    <w:rsid w:val="00FD5073"/>
    <w:rsid w:val="00FD62F0"/>
    <w:rsid w:val="00FD7E7E"/>
    <w:rsid w:val="00FE2BF9"/>
    <w:rsid w:val="00FE4E1E"/>
    <w:rsid w:val="00FE531C"/>
    <w:rsid w:val="00FF06F4"/>
    <w:rsid w:val="00FF3B47"/>
    <w:rsid w:val="00FF46E7"/>
    <w:rsid w:val="00FF47A8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455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0" w:firstLine="0"/>
    </w:pPr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412B21"/>
    <w:pPr>
      <w:keepNext/>
      <w:numPr>
        <w:numId w:val="4"/>
      </w:numPr>
      <w:pBdr>
        <w:bottom w:val="thinThickLargeGap" w:sz="24" w:space="1" w:color="auto"/>
        <w:right w:val="single" w:sz="12" w:space="4" w:color="auto"/>
      </w:pBdr>
      <w:shd w:val="clear" w:color="auto" w:fill="C6D9F1"/>
      <w:ind w:left="426"/>
      <w:outlineLvl w:val="0"/>
    </w:pPr>
    <w:rPr>
      <w:rFonts w:ascii="Arial" w:hAnsi="Arial" w:cs="Arial"/>
      <w:b/>
      <w:bCs/>
      <w:caps/>
      <w:color w:val="365F91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"/>
      </w:numPr>
      <w:tabs>
        <w:tab w:val="clear" w:pos="425"/>
      </w:tabs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D62F0"/>
    <w:pPr>
      <w:keepNext/>
      <w:tabs>
        <w:tab w:val="clear" w:pos="8222"/>
        <w:tab w:val="left" w:pos="4650"/>
      </w:tabs>
      <w:spacing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"/>
      </w:numPr>
      <w:spacing w:before="240" w:after="60" w:line="340" w:lineRule="exact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"/>
      </w:numPr>
      <w:spacing w:before="240" w:after="60" w:line="340" w:lineRule="exact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uiPriority w:val="99"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uiPriority w:val="99"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uiPriority w:val="99"/>
    <w:rsid w:val="00412B21"/>
    <w:rPr>
      <w:rFonts w:ascii="Arial" w:hAnsi="Arial" w:cs="Arial"/>
      <w:b/>
      <w:bCs/>
      <w:caps/>
      <w:color w:val="365F91"/>
      <w:kern w:val="32"/>
      <w:sz w:val="24"/>
      <w:szCs w:val="32"/>
      <w:shd w:val="clear" w:color="auto" w:fill="C6D9F1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hAnsi="Arial" w:cs="Arial"/>
      <w:b/>
      <w:bCs/>
      <w:iCs/>
      <w:smallCaps/>
      <w:color w:val="365F91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FD62F0"/>
    <w:rPr>
      <w:rFonts w:ascii="Arial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b/>
      <w:bCs/>
      <w:lang w:eastAsia="hu-HU"/>
    </w:rPr>
  </w:style>
  <w:style w:type="character" w:customStyle="1" w:styleId="Cmsor7Char">
    <w:name w:val="Címsor 7 Char"/>
    <w:link w:val="Cmsor7"/>
    <w:rsid w:val="0015602E"/>
    <w:rPr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hAnsi="Arial" w:cs="Arial"/>
      <w:lang w:eastAsia="hu-HU"/>
    </w:rPr>
  </w:style>
  <w:style w:type="paragraph" w:styleId="Kpalrs">
    <w:name w:val="caption"/>
    <w:aliases w:val="ITS_Kepalairas"/>
    <w:basedOn w:val="Norml"/>
    <w:next w:val="Norml"/>
    <w:uiPriority w:val="99"/>
    <w:qFormat/>
    <w:rsid w:val="0015602E"/>
    <w:pPr>
      <w:tabs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99"/>
    <w:qFormat/>
    <w:rsid w:val="0015602E"/>
    <w:rPr>
      <w:rFonts w:cs="Times New Roman"/>
      <w:b/>
      <w:bCs/>
    </w:rPr>
  </w:style>
  <w:style w:type="character" w:styleId="Kiemels">
    <w:name w:val="Emphasis"/>
    <w:uiPriority w:val="99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,List Paragraph"/>
    <w:basedOn w:val="Norml"/>
    <w:uiPriority w:val="99"/>
    <w:qFormat/>
    <w:rsid w:val="0015602E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5602E"/>
    <w:rPr>
      <w:rFonts w:cs="Times New Roman"/>
    </w:rPr>
  </w:style>
  <w:style w:type="paragraph" w:customStyle="1" w:styleId="np">
    <w:name w:val="np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5602E"/>
    <w:pPr>
      <w:ind w:left="720"/>
    </w:pPr>
  </w:style>
  <w:style w:type="paragraph" w:customStyle="1" w:styleId="1">
    <w:name w:val="1"/>
    <w:basedOn w:val="Norml"/>
    <w:uiPriority w:val="99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uiPriority w:val="99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uiPriority w:val="99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uiPriority w:val="99"/>
    <w:rsid w:val="0015602E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uiPriority w:val="99"/>
    <w:rsid w:val="0015602E"/>
    <w:rPr>
      <w:b/>
      <w:i/>
      <w:color w:val="4F81BD"/>
    </w:rPr>
  </w:style>
  <w:style w:type="paragraph" w:customStyle="1" w:styleId="Stlus1">
    <w:name w:val="Stílus1"/>
    <w:basedOn w:val="Norml"/>
    <w:uiPriority w:val="99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uiPriority w:val="99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Szvegtrzs22">
    <w:name w:val="Szövegtörzs 22"/>
    <w:basedOn w:val="Norml"/>
    <w:uiPriority w:val="99"/>
    <w:rsid w:val="0015602E"/>
    <w:pPr>
      <w:widowControl w:val="0"/>
      <w:suppressAutoHyphens/>
      <w:autoSpaceDE w:val="0"/>
    </w:pPr>
    <w:rPr>
      <w:rFonts w:cs="Lucida Sans Unicode"/>
      <w:color w:val="000080"/>
      <w:sz w:val="24"/>
      <w:szCs w:val="24"/>
      <w:lang w:val="en-US"/>
    </w:rPr>
  </w:style>
  <w:style w:type="paragraph" w:customStyle="1" w:styleId="BNorml2">
    <w:name w:val="B_Normál 2"/>
    <w:basedOn w:val="Norml"/>
    <w:uiPriority w:val="99"/>
    <w:rsid w:val="0015602E"/>
    <w:pPr>
      <w:suppressAutoHyphens/>
      <w:ind w:left="851"/>
    </w:pPr>
    <w:rPr>
      <w:sz w:val="24"/>
      <w:szCs w:val="24"/>
      <w:lang w:eastAsia="ar-SA"/>
    </w:rPr>
  </w:style>
  <w:style w:type="paragraph" w:customStyle="1" w:styleId="BNorml3">
    <w:name w:val="B_Normál 3"/>
    <w:basedOn w:val="Norml"/>
    <w:uiPriority w:val="99"/>
    <w:rsid w:val="0015602E"/>
    <w:pPr>
      <w:tabs>
        <w:tab w:val="left" w:pos="1470"/>
      </w:tabs>
      <w:suppressAutoHyphens/>
      <w:ind w:left="1418"/>
    </w:pPr>
    <w:rPr>
      <w:sz w:val="24"/>
      <w:szCs w:val="24"/>
      <w:lang w:eastAsia="ar-SA"/>
    </w:rPr>
  </w:style>
  <w:style w:type="paragraph" w:customStyle="1" w:styleId="ures">
    <w:name w:val="ures"/>
    <w:basedOn w:val="Norml"/>
    <w:uiPriority w:val="99"/>
    <w:rsid w:val="0015602E"/>
    <w:pPr>
      <w:tabs>
        <w:tab w:val="left" w:pos="284"/>
      </w:tabs>
    </w:pPr>
    <w:rPr>
      <w:rFonts w:ascii="PFL-Times New Roman" w:hAnsi="PFL-Times New Roman"/>
      <w:sz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uiPriority w:val="99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  <w:szCs w:val="24"/>
    </w:rPr>
  </w:style>
  <w:style w:type="paragraph" w:customStyle="1" w:styleId="tblzat">
    <w:name w:val="táblázat"/>
    <w:basedOn w:val="Norml"/>
    <w:uiPriority w:val="99"/>
    <w:rsid w:val="0015602E"/>
    <w:pPr>
      <w:spacing w:before="20" w:after="20"/>
      <w:jc w:val="center"/>
    </w:pPr>
    <w:rPr>
      <w:rFonts w:ascii="Arial Narrow" w:hAnsi="Arial Narrow" w:cs="Arial"/>
      <w:bCs/>
      <w:sz w:val="18"/>
      <w:szCs w:val="24"/>
    </w:rPr>
  </w:style>
  <w:style w:type="paragraph" w:customStyle="1" w:styleId="Default">
    <w:name w:val="Default"/>
    <w:uiPriority w:val="99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uiPriority w:val="99"/>
    <w:rsid w:val="0015602E"/>
    <w:pPr>
      <w:pageBreakBefore/>
      <w:numPr>
        <w:numId w:val="3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uiPriority w:val="99"/>
    <w:rsid w:val="0015602E"/>
    <w:pPr>
      <w:keepNext/>
      <w:numPr>
        <w:ilvl w:val="1"/>
        <w:numId w:val="3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uiPriority w:val="99"/>
    <w:rsid w:val="0015602E"/>
    <w:pPr>
      <w:keepNext/>
      <w:numPr>
        <w:ilvl w:val="2"/>
        <w:numId w:val="3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99"/>
    <w:rsid w:val="0015602E"/>
    <w:rPr>
      <w:szCs w:val="24"/>
    </w:rPr>
  </w:style>
  <w:style w:type="paragraph" w:styleId="TJ2">
    <w:name w:val="toc 2"/>
    <w:basedOn w:val="Norml"/>
    <w:next w:val="Norml"/>
    <w:autoRedefine/>
    <w:uiPriority w:val="9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9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9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9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rsid w:val="0015602E"/>
  </w:style>
  <w:style w:type="character" w:customStyle="1" w:styleId="JegyzetszvegChar">
    <w:name w:val="Jegyzetszöveg Char"/>
    <w:link w:val="Jegyzetszveg"/>
    <w:uiPriority w:val="99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uiPriority w:val="99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uiPriority w:val="99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15602E"/>
    <w:pPr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uiPriority w:val="99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uiPriority w:val="99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15602E"/>
    <w:pPr>
      <w:ind w:left="567" w:right="-2" w:hanging="283"/>
    </w:pPr>
    <w:rPr>
      <w:rFonts w:ascii="Arial Narrow" w:hAnsi="Arial Narrow"/>
      <w:spacing w:val="20"/>
      <w:sz w:val="24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uiPriority w:val="99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uiPriority w:val="99"/>
    <w:rsid w:val="00540F46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ind w:left="720"/>
      <w:jc w:val="left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B524DE"/>
    <w:pPr>
      <w:suppressAutoHyphens/>
      <w:overflowPunct w:val="0"/>
      <w:autoSpaceDE w:val="0"/>
      <w:autoSpaceDN w:val="0"/>
      <w:ind w:left="0" w:firstLine="0"/>
      <w:jc w:val="left"/>
      <w:textAlignment w:val="baseline"/>
    </w:pPr>
    <w:rPr>
      <w:rFonts w:ascii="Times New Roman" w:hAnsi="Times New Roman"/>
      <w:b/>
      <w:kern w:val="3"/>
      <w:sz w:val="24"/>
      <w:lang w:eastAsia="zh-CN"/>
    </w:rPr>
  </w:style>
  <w:style w:type="paragraph" w:customStyle="1" w:styleId="Bekezdsalap-bettpusaCharCharChar1">
    <w:name w:val="Bekezdés alap-betűtípusa Char Char Char1"/>
    <w:aliases w:val="Bekezdés alap-betűtípusa Char Char Char Char,Char Char Char Char Char Char Char Char Char Char Char Char Char"/>
    <w:basedOn w:val="Norml"/>
    <w:uiPriority w:val="99"/>
    <w:rsid w:val="00921168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spacing w:after="160" w:line="240" w:lineRule="exact"/>
      <w:jc w:val="lef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>
      <w:pPr>
        <w:ind w:left="850" w:hanging="35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lock Text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455"/>
    <w:pPr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ind w:left="0" w:firstLine="0"/>
    </w:pPr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412B21"/>
    <w:pPr>
      <w:keepNext/>
      <w:numPr>
        <w:numId w:val="4"/>
      </w:numPr>
      <w:pBdr>
        <w:bottom w:val="thinThickLargeGap" w:sz="24" w:space="1" w:color="auto"/>
        <w:right w:val="single" w:sz="12" w:space="4" w:color="auto"/>
      </w:pBdr>
      <w:shd w:val="clear" w:color="auto" w:fill="C6D9F1"/>
      <w:ind w:left="426"/>
      <w:outlineLvl w:val="0"/>
    </w:pPr>
    <w:rPr>
      <w:rFonts w:ascii="Arial" w:hAnsi="Arial" w:cs="Arial"/>
      <w:b/>
      <w:bCs/>
      <w:caps/>
      <w:color w:val="365F91"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qFormat/>
    <w:rsid w:val="0015602E"/>
    <w:pPr>
      <w:keepNext/>
      <w:numPr>
        <w:ilvl w:val="1"/>
        <w:numId w:val="2"/>
      </w:numPr>
      <w:tabs>
        <w:tab w:val="clear" w:pos="425"/>
      </w:tabs>
      <w:spacing w:before="240" w:after="240" w:line="340" w:lineRule="exact"/>
      <w:outlineLvl w:val="1"/>
    </w:pPr>
    <w:rPr>
      <w:rFonts w:ascii="Arial" w:hAnsi="Arial" w:cs="Arial"/>
      <w:b/>
      <w:bCs/>
      <w:iCs/>
      <w:smallCaps/>
      <w:color w:val="365F91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D62F0"/>
    <w:pPr>
      <w:keepNext/>
      <w:tabs>
        <w:tab w:val="clear" w:pos="8222"/>
        <w:tab w:val="left" w:pos="4650"/>
      </w:tabs>
      <w:spacing w:line="340" w:lineRule="exact"/>
      <w:outlineLvl w:val="2"/>
    </w:pPr>
    <w:rPr>
      <w:rFonts w:ascii="Arial" w:hAnsi="Arial" w:cs="Arial"/>
      <w:b/>
      <w:bCs/>
      <w:color w:val="365F91"/>
      <w:szCs w:val="26"/>
    </w:rPr>
  </w:style>
  <w:style w:type="paragraph" w:styleId="Cmsor4">
    <w:name w:val="heading 4"/>
    <w:basedOn w:val="Cmsor3"/>
    <w:next w:val="Norml"/>
    <w:link w:val="Cmsor4Char"/>
    <w:qFormat/>
    <w:rsid w:val="0015602E"/>
    <w:pPr>
      <w:numPr>
        <w:ilvl w:val="3"/>
        <w:numId w:val="2"/>
      </w:numPr>
      <w:outlineLvl w:val="3"/>
    </w:pPr>
    <w:rPr>
      <w:b w:val="0"/>
      <w:bCs w:val="0"/>
      <w:i/>
      <w:szCs w:val="28"/>
    </w:rPr>
  </w:style>
  <w:style w:type="paragraph" w:styleId="Cmsor5">
    <w:name w:val="heading 5"/>
    <w:basedOn w:val="Norml"/>
    <w:next w:val="Norml"/>
    <w:link w:val="Cmsor5Char"/>
    <w:qFormat/>
    <w:rsid w:val="0015602E"/>
    <w:pPr>
      <w:numPr>
        <w:ilvl w:val="4"/>
        <w:numId w:val="2"/>
      </w:numPr>
      <w:spacing w:before="240" w:after="60" w:line="340" w:lineRule="exac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5602E"/>
    <w:pPr>
      <w:numPr>
        <w:ilvl w:val="5"/>
        <w:numId w:val="2"/>
      </w:numPr>
      <w:spacing w:before="240" w:after="60" w:line="340" w:lineRule="exact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15602E"/>
    <w:pPr>
      <w:numPr>
        <w:ilvl w:val="6"/>
        <w:numId w:val="2"/>
      </w:numPr>
      <w:spacing w:before="240" w:after="60" w:line="340" w:lineRule="exact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15602E"/>
    <w:pPr>
      <w:numPr>
        <w:ilvl w:val="7"/>
        <w:numId w:val="2"/>
      </w:numPr>
      <w:spacing w:before="240" w:after="60" w:line="340" w:lineRule="exact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15602E"/>
    <w:pPr>
      <w:numPr>
        <w:ilvl w:val="8"/>
        <w:numId w:val="2"/>
      </w:numPr>
      <w:spacing w:before="240" w:after="60" w:line="340" w:lineRule="exact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TSSzovegtest">
    <w:name w:val="ITS_Szovegtest"/>
    <w:basedOn w:val="Norml"/>
    <w:autoRedefine/>
    <w:uiPriority w:val="99"/>
    <w:qFormat/>
    <w:rsid w:val="0015602E"/>
    <w:pPr>
      <w:ind w:left="420"/>
      <w:jc w:val="center"/>
    </w:pPr>
    <w:rPr>
      <w:rFonts w:cs="Arial"/>
    </w:rPr>
  </w:style>
  <w:style w:type="paragraph" w:customStyle="1" w:styleId="ITSKepForras">
    <w:name w:val="ITS_Kep_Forras"/>
    <w:basedOn w:val="Norml"/>
    <w:next w:val="ITSSzovegtest"/>
    <w:autoRedefine/>
    <w:uiPriority w:val="99"/>
    <w:qFormat/>
    <w:rsid w:val="0015602E"/>
    <w:pPr>
      <w:ind w:left="420"/>
      <w:jc w:val="center"/>
    </w:pPr>
    <w:rPr>
      <w:i/>
      <w:sz w:val="18"/>
      <w:szCs w:val="16"/>
    </w:rPr>
  </w:style>
  <w:style w:type="character" w:customStyle="1" w:styleId="Cmsor1Char">
    <w:name w:val="Címsor 1 Char"/>
    <w:link w:val="Cmsor1"/>
    <w:uiPriority w:val="99"/>
    <w:rsid w:val="00412B21"/>
    <w:rPr>
      <w:rFonts w:ascii="Arial" w:hAnsi="Arial" w:cs="Arial"/>
      <w:b/>
      <w:bCs/>
      <w:caps/>
      <w:color w:val="365F91"/>
      <w:kern w:val="32"/>
      <w:sz w:val="24"/>
      <w:szCs w:val="32"/>
      <w:shd w:val="clear" w:color="auto" w:fill="C6D9F1"/>
      <w:lang w:eastAsia="hu-HU"/>
    </w:rPr>
  </w:style>
  <w:style w:type="character" w:customStyle="1" w:styleId="Cmsor2Char">
    <w:name w:val="Címsor 2 Char"/>
    <w:link w:val="Cmsor2"/>
    <w:rsid w:val="0015602E"/>
    <w:rPr>
      <w:rFonts w:ascii="Arial" w:hAnsi="Arial" w:cs="Arial"/>
      <w:b/>
      <w:bCs/>
      <w:iCs/>
      <w:smallCaps/>
      <w:color w:val="365F91"/>
      <w:szCs w:val="28"/>
      <w:lang w:eastAsia="hu-HU"/>
    </w:rPr>
  </w:style>
  <w:style w:type="character" w:customStyle="1" w:styleId="Cmsor3Char">
    <w:name w:val="Címsor 3 Char"/>
    <w:link w:val="Cmsor3"/>
    <w:uiPriority w:val="99"/>
    <w:rsid w:val="00FD62F0"/>
    <w:rPr>
      <w:rFonts w:ascii="Arial" w:hAnsi="Arial" w:cs="Arial"/>
      <w:b/>
      <w:bCs/>
      <w:color w:val="365F91"/>
      <w:szCs w:val="26"/>
      <w:lang w:eastAsia="hu-HU"/>
    </w:rPr>
  </w:style>
  <w:style w:type="character" w:customStyle="1" w:styleId="Cmsor4Char">
    <w:name w:val="Címsor 4 Char"/>
    <w:link w:val="Cmsor4"/>
    <w:rsid w:val="0015602E"/>
    <w:rPr>
      <w:rFonts w:ascii="Arial" w:hAnsi="Arial" w:cs="Arial"/>
      <w:i/>
      <w:color w:val="365F91"/>
      <w:szCs w:val="28"/>
      <w:lang w:eastAsia="hu-HU"/>
    </w:rPr>
  </w:style>
  <w:style w:type="character" w:customStyle="1" w:styleId="Cmsor5Char">
    <w:name w:val="Címsor 5 Char"/>
    <w:link w:val="Cmsor5"/>
    <w:rsid w:val="0015602E"/>
    <w:rPr>
      <w:rFonts w:ascii="Arial" w:hAnsi="Arial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15602E"/>
    <w:rPr>
      <w:b/>
      <w:bCs/>
      <w:lang w:eastAsia="hu-HU"/>
    </w:rPr>
  </w:style>
  <w:style w:type="character" w:customStyle="1" w:styleId="Cmsor7Char">
    <w:name w:val="Címsor 7 Char"/>
    <w:link w:val="Cmsor7"/>
    <w:rsid w:val="0015602E"/>
    <w:rPr>
      <w:sz w:val="24"/>
      <w:szCs w:val="24"/>
      <w:lang w:eastAsia="hu-HU"/>
    </w:rPr>
  </w:style>
  <w:style w:type="character" w:customStyle="1" w:styleId="Cmsor8Char">
    <w:name w:val="Címsor 8 Char"/>
    <w:link w:val="Cmsor8"/>
    <w:rsid w:val="0015602E"/>
    <w:rPr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15602E"/>
    <w:rPr>
      <w:rFonts w:ascii="Arial" w:hAnsi="Arial" w:cs="Arial"/>
      <w:lang w:eastAsia="hu-HU"/>
    </w:rPr>
  </w:style>
  <w:style w:type="paragraph" w:styleId="Kpalrs">
    <w:name w:val="caption"/>
    <w:aliases w:val="ITS_Kepalairas"/>
    <w:basedOn w:val="Norml"/>
    <w:next w:val="Norml"/>
    <w:uiPriority w:val="99"/>
    <w:qFormat/>
    <w:rsid w:val="0015602E"/>
    <w:pPr>
      <w:tabs>
        <w:tab w:val="left" w:pos="2552"/>
        <w:tab w:val="right" w:pos="8222"/>
      </w:tabs>
      <w:jc w:val="right"/>
    </w:pPr>
    <w:rPr>
      <w:rFonts w:ascii="Arial" w:hAnsi="Arial"/>
      <w:i/>
      <w:sz w:val="18"/>
    </w:rPr>
  </w:style>
  <w:style w:type="character" w:styleId="Kiemels2">
    <w:name w:val="Strong"/>
    <w:uiPriority w:val="99"/>
    <w:qFormat/>
    <w:rsid w:val="0015602E"/>
    <w:rPr>
      <w:rFonts w:cs="Times New Roman"/>
      <w:b/>
      <w:bCs/>
    </w:rPr>
  </w:style>
  <w:style w:type="character" w:styleId="Kiemels">
    <w:name w:val="Emphasis"/>
    <w:uiPriority w:val="99"/>
    <w:qFormat/>
    <w:rsid w:val="0015602E"/>
    <w:rPr>
      <w:i/>
    </w:rPr>
  </w:style>
  <w:style w:type="paragraph" w:styleId="Nincstrkz">
    <w:name w:val="No Spacing"/>
    <w:uiPriority w:val="99"/>
    <w:qFormat/>
    <w:rsid w:val="0015602E"/>
    <w:rPr>
      <w:sz w:val="22"/>
      <w:szCs w:val="22"/>
    </w:rPr>
  </w:style>
  <w:style w:type="paragraph" w:styleId="Listaszerbekezds">
    <w:name w:val="List Paragraph"/>
    <w:aliases w:val="Listaszerű bekezdés 1,List Paragraph"/>
    <w:basedOn w:val="Norml"/>
    <w:uiPriority w:val="99"/>
    <w:qFormat/>
    <w:rsid w:val="0015602E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5602E"/>
    <w:rPr>
      <w:rFonts w:cs="Times New Roman"/>
    </w:rPr>
  </w:style>
  <w:style w:type="paragraph" w:customStyle="1" w:styleId="np">
    <w:name w:val="np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5602E"/>
    <w:pPr>
      <w:ind w:left="720"/>
    </w:pPr>
  </w:style>
  <w:style w:type="paragraph" w:customStyle="1" w:styleId="1">
    <w:name w:val="1"/>
    <w:basedOn w:val="Norml"/>
    <w:uiPriority w:val="99"/>
    <w:rsid w:val="0015602E"/>
    <w:pPr>
      <w:spacing w:after="160" w:line="240" w:lineRule="exact"/>
    </w:pPr>
    <w:rPr>
      <w:rFonts w:ascii="Verdana" w:hAnsi="Verdana"/>
      <w:lang w:val="en-US"/>
    </w:rPr>
  </w:style>
  <w:style w:type="character" w:customStyle="1" w:styleId="Lbjegyzet-karakterek">
    <w:name w:val="Lábjegyzet-karakterek"/>
    <w:uiPriority w:val="99"/>
    <w:rsid w:val="0015602E"/>
    <w:rPr>
      <w:vertAlign w:val="superscript"/>
    </w:rPr>
  </w:style>
  <w:style w:type="paragraph" w:customStyle="1" w:styleId="CharCharCharCharCharChar">
    <w:name w:val="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rita">
    <w:name w:val="rita"/>
    <w:basedOn w:val="Norml"/>
    <w:uiPriority w:val="99"/>
    <w:rsid w:val="0015602E"/>
    <w:pPr>
      <w:spacing w:before="80" w:after="80"/>
    </w:pPr>
    <w:rPr>
      <w:rFonts w:ascii="Arial Narrow" w:hAnsi="Arial Narrow"/>
    </w:rPr>
  </w:style>
  <w:style w:type="character" w:customStyle="1" w:styleId="msobodytext0">
    <w:name w:val="msobodytext"/>
    <w:uiPriority w:val="99"/>
    <w:rsid w:val="0015602E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15602E"/>
    <w:pPr>
      <w:spacing w:after="120"/>
      <w:ind w:left="708" w:right="1985"/>
    </w:pPr>
    <w:rPr>
      <w:rFonts w:cs="Calibri"/>
    </w:rPr>
  </w:style>
  <w:style w:type="character" w:customStyle="1" w:styleId="Ershangslyozs1">
    <w:name w:val="Erős hangsúlyozás1"/>
    <w:uiPriority w:val="99"/>
    <w:rsid w:val="0015602E"/>
    <w:rPr>
      <w:b/>
      <w:i/>
      <w:color w:val="4F81BD"/>
    </w:rPr>
  </w:style>
  <w:style w:type="paragraph" w:customStyle="1" w:styleId="Stlus1">
    <w:name w:val="Stílus1"/>
    <w:basedOn w:val="Norml"/>
    <w:uiPriority w:val="99"/>
    <w:rsid w:val="0015602E"/>
    <w:rPr>
      <w:rFonts w:ascii="Arial" w:hAnsi="Arial" w:cs="Arial"/>
    </w:rPr>
  </w:style>
  <w:style w:type="paragraph" w:customStyle="1" w:styleId="NormlCalibri11">
    <w:name w:val="Normál + Calibri 11"/>
    <w:basedOn w:val="Norml"/>
    <w:uiPriority w:val="99"/>
    <w:rsid w:val="0015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4"/>
    </w:rPr>
  </w:style>
  <w:style w:type="paragraph" w:customStyle="1" w:styleId="Szvegtrzs22">
    <w:name w:val="Szövegtörzs 22"/>
    <w:basedOn w:val="Norml"/>
    <w:uiPriority w:val="99"/>
    <w:rsid w:val="0015602E"/>
    <w:pPr>
      <w:widowControl w:val="0"/>
      <w:suppressAutoHyphens/>
      <w:autoSpaceDE w:val="0"/>
    </w:pPr>
    <w:rPr>
      <w:rFonts w:cs="Lucida Sans Unicode"/>
      <w:color w:val="000080"/>
      <w:sz w:val="24"/>
      <w:szCs w:val="24"/>
      <w:lang w:val="en-US"/>
    </w:rPr>
  </w:style>
  <w:style w:type="paragraph" w:customStyle="1" w:styleId="BNorml2">
    <w:name w:val="B_Normál 2"/>
    <w:basedOn w:val="Norml"/>
    <w:uiPriority w:val="99"/>
    <w:rsid w:val="0015602E"/>
    <w:pPr>
      <w:suppressAutoHyphens/>
      <w:ind w:left="851"/>
    </w:pPr>
    <w:rPr>
      <w:sz w:val="24"/>
      <w:szCs w:val="24"/>
      <w:lang w:eastAsia="ar-SA"/>
    </w:rPr>
  </w:style>
  <w:style w:type="paragraph" w:customStyle="1" w:styleId="BNorml3">
    <w:name w:val="B_Normál 3"/>
    <w:basedOn w:val="Norml"/>
    <w:uiPriority w:val="99"/>
    <w:rsid w:val="0015602E"/>
    <w:pPr>
      <w:tabs>
        <w:tab w:val="left" w:pos="1470"/>
      </w:tabs>
      <w:suppressAutoHyphens/>
      <w:ind w:left="1418"/>
    </w:pPr>
    <w:rPr>
      <w:sz w:val="24"/>
      <w:szCs w:val="24"/>
      <w:lang w:eastAsia="ar-SA"/>
    </w:rPr>
  </w:style>
  <w:style w:type="paragraph" w:customStyle="1" w:styleId="ures">
    <w:name w:val="ures"/>
    <w:basedOn w:val="Norml"/>
    <w:uiPriority w:val="99"/>
    <w:rsid w:val="0015602E"/>
    <w:pPr>
      <w:tabs>
        <w:tab w:val="left" w:pos="284"/>
      </w:tabs>
    </w:pPr>
    <w:rPr>
      <w:rFonts w:ascii="PFL-Times New Roman" w:hAnsi="PFL-Times New Roman"/>
      <w:sz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">
    <w:name w:val="Char Char Char Char Char Char Char Char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1">
    <w:name w:val="Char Char Char Char 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Munkacme">
    <w:name w:val="Munka címe"/>
    <w:basedOn w:val="Norml"/>
    <w:uiPriority w:val="99"/>
    <w:rsid w:val="0015602E"/>
    <w:pPr>
      <w:spacing w:before="240" w:line="480" w:lineRule="auto"/>
      <w:jc w:val="center"/>
    </w:pPr>
    <w:rPr>
      <w:rFonts w:ascii="Arial" w:hAnsi="Arial" w:cs="Arial"/>
      <w:b/>
      <w:caps/>
      <w:sz w:val="32"/>
      <w:szCs w:val="24"/>
    </w:rPr>
  </w:style>
  <w:style w:type="paragraph" w:customStyle="1" w:styleId="tblzat">
    <w:name w:val="táblázat"/>
    <w:basedOn w:val="Norml"/>
    <w:uiPriority w:val="99"/>
    <w:rsid w:val="0015602E"/>
    <w:pPr>
      <w:spacing w:before="20" w:after="20"/>
      <w:jc w:val="center"/>
    </w:pPr>
    <w:rPr>
      <w:rFonts w:ascii="Arial Narrow" w:hAnsi="Arial Narrow" w:cs="Arial"/>
      <w:bCs/>
      <w:sz w:val="18"/>
      <w:szCs w:val="24"/>
    </w:rPr>
  </w:style>
  <w:style w:type="paragraph" w:customStyle="1" w:styleId="Default">
    <w:name w:val="Default"/>
    <w:uiPriority w:val="99"/>
    <w:rsid w:val="001560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u-HU"/>
    </w:rPr>
  </w:style>
  <w:style w:type="paragraph" w:customStyle="1" w:styleId="CharChar1">
    <w:name w:val="Char Char1"/>
    <w:basedOn w:val="Norml"/>
    <w:uiPriority w:val="99"/>
    <w:rsid w:val="0015602E"/>
    <w:pPr>
      <w:spacing w:after="160" w:line="240" w:lineRule="exact"/>
    </w:pPr>
    <w:rPr>
      <w:rFonts w:ascii="Tahoma" w:hAnsi="Tahoma"/>
      <w:lang w:val="en-US"/>
    </w:rPr>
  </w:style>
  <w:style w:type="paragraph" w:customStyle="1" w:styleId="ITSFejezet1">
    <w:name w:val="ITS_Fejezet_1"/>
    <w:basedOn w:val="Norml"/>
    <w:next w:val="ITSSzovegtest"/>
    <w:uiPriority w:val="99"/>
    <w:rsid w:val="0015602E"/>
    <w:pPr>
      <w:pageBreakBefore/>
      <w:numPr>
        <w:numId w:val="3"/>
      </w:numPr>
      <w:spacing w:before="360" w:after="240" w:line="288" w:lineRule="auto"/>
    </w:pPr>
    <w:rPr>
      <w:rFonts w:ascii="Cambria" w:hAnsi="Cambria"/>
      <w:b/>
      <w:color w:val="244BAE"/>
      <w:sz w:val="40"/>
      <w:szCs w:val="28"/>
    </w:rPr>
  </w:style>
  <w:style w:type="paragraph" w:customStyle="1" w:styleId="ITSFejezet2">
    <w:name w:val="ITS_Fejezet_2"/>
    <w:basedOn w:val="Norml"/>
    <w:next w:val="ITSSzovegtest"/>
    <w:uiPriority w:val="99"/>
    <w:rsid w:val="0015602E"/>
    <w:pPr>
      <w:keepNext/>
      <w:numPr>
        <w:ilvl w:val="1"/>
        <w:numId w:val="3"/>
      </w:numPr>
      <w:spacing w:before="360" w:after="240" w:line="288" w:lineRule="auto"/>
    </w:pPr>
    <w:rPr>
      <w:rFonts w:ascii="Cambria" w:hAnsi="Cambria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uiPriority w:val="99"/>
    <w:rsid w:val="0015602E"/>
    <w:pPr>
      <w:keepNext/>
      <w:numPr>
        <w:ilvl w:val="2"/>
        <w:numId w:val="3"/>
      </w:numPr>
      <w:spacing w:before="360" w:after="120" w:line="288" w:lineRule="auto"/>
    </w:pPr>
    <w:rPr>
      <w:rFonts w:ascii="Cambria" w:hAnsi="Cambria"/>
      <w:b/>
      <w:color w:val="244BAE"/>
      <w:sz w:val="32"/>
    </w:rPr>
  </w:style>
  <w:style w:type="paragraph" w:styleId="TJ1">
    <w:name w:val="toc 1"/>
    <w:basedOn w:val="Norml"/>
    <w:next w:val="Norml"/>
    <w:autoRedefine/>
    <w:uiPriority w:val="99"/>
    <w:rsid w:val="0015602E"/>
    <w:rPr>
      <w:szCs w:val="24"/>
    </w:rPr>
  </w:style>
  <w:style w:type="paragraph" w:styleId="TJ2">
    <w:name w:val="toc 2"/>
    <w:basedOn w:val="Norml"/>
    <w:next w:val="Norml"/>
    <w:autoRedefine/>
    <w:uiPriority w:val="99"/>
    <w:rsid w:val="0015602E"/>
    <w:pPr>
      <w:ind w:left="220"/>
    </w:pPr>
  </w:style>
  <w:style w:type="paragraph" w:styleId="TJ3">
    <w:name w:val="toc 3"/>
    <w:basedOn w:val="Norml"/>
    <w:next w:val="Norml"/>
    <w:autoRedefine/>
    <w:uiPriority w:val="99"/>
    <w:rsid w:val="0015602E"/>
    <w:pPr>
      <w:ind w:left="440"/>
    </w:pPr>
  </w:style>
  <w:style w:type="paragraph" w:styleId="TJ4">
    <w:name w:val="toc 4"/>
    <w:basedOn w:val="Norml"/>
    <w:next w:val="Norml"/>
    <w:autoRedefine/>
    <w:uiPriority w:val="99"/>
    <w:rsid w:val="0015602E"/>
    <w:pPr>
      <w:ind w:left="660"/>
    </w:pPr>
  </w:style>
  <w:style w:type="paragraph" w:styleId="TJ5">
    <w:name w:val="toc 5"/>
    <w:basedOn w:val="Norml"/>
    <w:next w:val="Norml"/>
    <w:autoRedefine/>
    <w:uiPriority w:val="99"/>
    <w:unhideWhenUsed/>
    <w:rsid w:val="0015602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99"/>
    <w:unhideWhenUsed/>
    <w:rsid w:val="0015602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99"/>
    <w:unhideWhenUsed/>
    <w:rsid w:val="0015602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99"/>
    <w:unhideWhenUsed/>
    <w:rsid w:val="0015602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99"/>
    <w:unhideWhenUsed/>
    <w:rsid w:val="0015602E"/>
    <w:pPr>
      <w:spacing w:after="100"/>
      <w:ind w:left="1760"/>
    </w:pPr>
  </w:style>
  <w:style w:type="paragraph" w:styleId="Lbjegyzetszveg">
    <w:name w:val="footnote text"/>
    <w:basedOn w:val="Norml"/>
    <w:link w:val="LbjegyzetszvegChar"/>
    <w:uiPriority w:val="99"/>
    <w:rsid w:val="0015602E"/>
    <w:pPr>
      <w:suppressAutoHyphens/>
    </w:pPr>
    <w:rPr>
      <w:lang w:eastAsia="ar-SA"/>
    </w:rPr>
  </w:style>
  <w:style w:type="character" w:customStyle="1" w:styleId="LbjegyzetszvegChar">
    <w:name w:val="Lábjegyzetszöveg Char"/>
    <w:link w:val="Lbjegyzetszveg"/>
    <w:uiPriority w:val="99"/>
    <w:rsid w:val="0015602E"/>
    <w:rPr>
      <w:rFonts w:ascii="Times New Roman" w:hAnsi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rsid w:val="0015602E"/>
  </w:style>
  <w:style w:type="character" w:customStyle="1" w:styleId="JegyzetszvegChar">
    <w:name w:val="Jegyzetszöveg Char"/>
    <w:link w:val="Jegyzetszveg"/>
    <w:uiPriority w:val="99"/>
    <w:semiHidden/>
    <w:rsid w:val="0015602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15602E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customStyle="1" w:styleId="lfejChar">
    <w:name w:val="Élőfej Char"/>
    <w:link w:val="lfej"/>
    <w:uiPriority w:val="99"/>
    <w:rsid w:val="0015602E"/>
    <w:rPr>
      <w:rFonts w:ascii="Garamond" w:hAnsi="Garamond"/>
      <w:sz w:val="24"/>
      <w:lang w:eastAsia="hu-HU"/>
    </w:rPr>
  </w:style>
  <w:style w:type="paragraph" w:styleId="llb">
    <w:name w:val="footer"/>
    <w:basedOn w:val="Norml"/>
    <w:link w:val="llbChar"/>
    <w:uiPriority w:val="99"/>
    <w:rsid w:val="001560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602E"/>
    <w:rPr>
      <w:rFonts w:eastAsia="Times New Roman"/>
      <w:sz w:val="22"/>
      <w:szCs w:val="22"/>
    </w:rPr>
  </w:style>
  <w:style w:type="character" w:styleId="Lbjegyzet-hivatkozs">
    <w:name w:val="footnote reference"/>
    <w:uiPriority w:val="99"/>
    <w:rsid w:val="0015602E"/>
    <w:rPr>
      <w:vertAlign w:val="superscript"/>
    </w:rPr>
  </w:style>
  <w:style w:type="paragraph" w:styleId="Szvegtrzs">
    <w:name w:val="Body Text"/>
    <w:basedOn w:val="Norml"/>
    <w:link w:val="SzvegtrzsChar"/>
    <w:rsid w:val="0015602E"/>
    <w:pPr>
      <w:spacing w:after="120"/>
    </w:pPr>
    <w:rPr>
      <w:rFonts w:ascii="Arial" w:hAnsi="Arial"/>
    </w:rPr>
  </w:style>
  <w:style w:type="character" w:customStyle="1" w:styleId="SzvegtrzsChar">
    <w:name w:val="Szövegtörzs Char"/>
    <w:link w:val="Szvegtrzs"/>
    <w:rsid w:val="0015602E"/>
    <w:rPr>
      <w:rFonts w:ascii="Arial" w:hAnsi="Arial"/>
    </w:rPr>
  </w:style>
  <w:style w:type="paragraph" w:styleId="Szvegtrzsbehzssal">
    <w:name w:val="Body Text Indent"/>
    <w:basedOn w:val="Norml"/>
    <w:link w:val="SzvegtrzsbehzssalChar"/>
    <w:uiPriority w:val="99"/>
    <w:rsid w:val="0015602E"/>
    <w:pPr>
      <w:spacing w:after="120"/>
      <w:ind w:left="283"/>
    </w:pPr>
    <w:rPr>
      <w:rFonts w:ascii="Arial" w:hAnsi="Arial"/>
    </w:rPr>
  </w:style>
  <w:style w:type="character" w:customStyle="1" w:styleId="SzvegtrzsbehzssalChar">
    <w:name w:val="Szövegtörzs behúzással Char"/>
    <w:link w:val="Szvegtrzsbehzssal"/>
    <w:uiPriority w:val="99"/>
    <w:rsid w:val="0015602E"/>
    <w:rPr>
      <w:rFonts w:ascii="Arial" w:hAnsi="Arial"/>
    </w:rPr>
  </w:style>
  <w:style w:type="paragraph" w:styleId="Szvegtrzs2">
    <w:name w:val="Body Text 2"/>
    <w:basedOn w:val="Norml"/>
    <w:link w:val="Szvegtrzs2Char"/>
    <w:uiPriority w:val="99"/>
    <w:rsid w:val="0015602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5602E"/>
    <w:rPr>
      <w:rFonts w:eastAsia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15602E"/>
    <w:pPr>
      <w:ind w:left="567" w:right="-2" w:hanging="283"/>
    </w:pPr>
    <w:rPr>
      <w:rFonts w:ascii="Arial Narrow" w:hAnsi="Arial Narrow"/>
      <w:spacing w:val="20"/>
      <w:sz w:val="24"/>
    </w:rPr>
  </w:style>
  <w:style w:type="character" w:styleId="Hiperhivatkozs">
    <w:name w:val="Hyperlink"/>
    <w:uiPriority w:val="99"/>
    <w:rsid w:val="0015602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5602E"/>
    <w:rPr>
      <w:szCs w:val="21"/>
    </w:rPr>
  </w:style>
  <w:style w:type="character" w:customStyle="1" w:styleId="CsakszvegChar">
    <w:name w:val="Csak szöveg Char"/>
    <w:link w:val="Csakszveg"/>
    <w:uiPriority w:val="99"/>
    <w:rsid w:val="0015602E"/>
    <w:rPr>
      <w:sz w:val="22"/>
      <w:szCs w:val="21"/>
    </w:rPr>
  </w:style>
  <w:style w:type="paragraph" w:styleId="NormlWeb">
    <w:name w:val="Normal (Web)"/>
    <w:basedOn w:val="Norml"/>
    <w:uiPriority w:val="99"/>
    <w:rsid w:val="0015602E"/>
    <w:pPr>
      <w:spacing w:before="100" w:beforeAutospacing="1" w:after="100" w:afterAutospacing="1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5602E"/>
    <w:rPr>
      <w:rFonts w:eastAsia="Calibri"/>
      <w:b/>
      <w:bCs/>
      <w:sz w:val="22"/>
    </w:rPr>
  </w:style>
  <w:style w:type="character" w:customStyle="1" w:styleId="MegjegyzstrgyaChar">
    <w:name w:val="Megjegyzés tárgya Char"/>
    <w:link w:val="Megjegyzstrgya"/>
    <w:uiPriority w:val="99"/>
    <w:semiHidden/>
    <w:rsid w:val="0015602E"/>
    <w:rPr>
      <w:b/>
      <w:bCs/>
      <w:sz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56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602E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5602E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uiPriority w:val="99"/>
    <w:rsid w:val="00540F46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ind w:left="720"/>
      <w:jc w:val="left"/>
    </w:pPr>
    <w:rPr>
      <w:rFonts w:cs="Calibri"/>
      <w:sz w:val="22"/>
      <w:szCs w:val="22"/>
    </w:rPr>
  </w:style>
  <w:style w:type="paragraph" w:customStyle="1" w:styleId="Standard">
    <w:name w:val="Standard"/>
    <w:uiPriority w:val="99"/>
    <w:rsid w:val="00B524DE"/>
    <w:pPr>
      <w:suppressAutoHyphens/>
      <w:overflowPunct w:val="0"/>
      <w:autoSpaceDE w:val="0"/>
      <w:autoSpaceDN w:val="0"/>
      <w:ind w:left="0" w:firstLine="0"/>
      <w:jc w:val="left"/>
      <w:textAlignment w:val="baseline"/>
    </w:pPr>
    <w:rPr>
      <w:rFonts w:ascii="Times New Roman" w:hAnsi="Times New Roman"/>
      <w:b/>
      <w:kern w:val="3"/>
      <w:sz w:val="24"/>
      <w:lang w:eastAsia="zh-CN"/>
    </w:rPr>
  </w:style>
  <w:style w:type="paragraph" w:customStyle="1" w:styleId="Bekezdsalap-bettpusaCharCharChar1">
    <w:name w:val="Bekezdés alap-betűtípusa Char Char Char1"/>
    <w:aliases w:val="Bekezdés alap-betűtípusa Char Char Char Char,Char Char Char Char Char Char Char Char Char Char Char Char Char"/>
    <w:basedOn w:val="Norml"/>
    <w:uiPriority w:val="99"/>
    <w:rsid w:val="00921168"/>
    <w:pPr>
      <w:tabs>
        <w:tab w:val="clear" w:pos="425"/>
        <w:tab w:val="clear" w:pos="851"/>
        <w:tab w:val="clear" w:pos="1276"/>
        <w:tab w:val="clear" w:pos="1701"/>
        <w:tab w:val="clear" w:pos="2126"/>
        <w:tab w:val="clear" w:pos="8222"/>
      </w:tabs>
      <w:spacing w:after="160" w:line="240" w:lineRule="exact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5816-28FF-41B9-99C3-C7EAA7CB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2690</Words>
  <Characters>19828</Characters>
  <Application>Microsoft Office Word</Application>
  <DocSecurity>0</DocSecurity>
  <Lines>600</Lines>
  <Paragraphs>321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Krisztina</dc:creator>
  <cp:lastModifiedBy>Makkai Krisztina</cp:lastModifiedBy>
  <cp:revision>45</cp:revision>
  <dcterms:created xsi:type="dcterms:W3CDTF">2017-07-01T18:18:00Z</dcterms:created>
  <dcterms:modified xsi:type="dcterms:W3CDTF">2018-03-20T11:14:00Z</dcterms:modified>
</cp:coreProperties>
</file>